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740"/>
        <w:gridCol w:w="2362"/>
        <w:gridCol w:w="2363"/>
        <w:gridCol w:w="2363"/>
      </w:tblGrid>
      <w:tr w:rsidR="00E616B6" w:rsidRPr="00A200BC" w14:paraId="79A58AD8" w14:textId="77777777" w:rsidTr="00CD4F5D">
        <w:tc>
          <w:tcPr>
            <w:tcW w:w="1740" w:type="dxa"/>
          </w:tcPr>
          <w:p w14:paraId="4924C373"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t>Número</w:t>
            </w:r>
          </w:p>
        </w:tc>
        <w:tc>
          <w:tcPr>
            <w:tcW w:w="7088" w:type="dxa"/>
            <w:gridSpan w:val="3"/>
          </w:tcPr>
          <w:p w14:paraId="226AE37A"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65</w:t>
            </w:r>
          </w:p>
        </w:tc>
      </w:tr>
      <w:tr w:rsidR="00E616B6" w:rsidRPr="00A200BC" w14:paraId="48EF4A8B" w14:textId="77777777" w:rsidTr="00CD4F5D">
        <w:tc>
          <w:tcPr>
            <w:tcW w:w="1740" w:type="dxa"/>
          </w:tcPr>
          <w:p w14:paraId="5ECC8444"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t>Línea</w:t>
            </w:r>
          </w:p>
        </w:tc>
        <w:tc>
          <w:tcPr>
            <w:tcW w:w="7088" w:type="dxa"/>
            <w:gridSpan w:val="3"/>
          </w:tcPr>
          <w:p w14:paraId="66FB1205"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Reflexión sobre el campo de conocimiento de la metodología</w:t>
            </w:r>
          </w:p>
        </w:tc>
      </w:tr>
      <w:tr w:rsidR="00E616B6" w:rsidRPr="00A200BC" w14:paraId="09E2C71F" w14:textId="77777777" w:rsidTr="00CD4F5D">
        <w:trPr>
          <w:trHeight w:val="489"/>
        </w:trPr>
        <w:tc>
          <w:tcPr>
            <w:tcW w:w="1740" w:type="dxa"/>
          </w:tcPr>
          <w:p w14:paraId="1F0B9296" w14:textId="4BCE52A5"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Nombre de la Pone</w:t>
            </w:r>
            <w:r w:rsidR="00054C1E">
              <w:rPr>
                <w:rFonts w:ascii="Century Gothic" w:eastAsia="Times New Roman" w:hAnsi="Century Gothic" w:cs="Arial"/>
                <w:color w:val="000000"/>
                <w:sz w:val="22"/>
                <w:szCs w:val="22"/>
              </w:rPr>
              <w:t>n</w:t>
            </w:r>
            <w:r w:rsidRPr="00A200BC">
              <w:rPr>
                <w:rFonts w:ascii="Century Gothic" w:eastAsia="Times New Roman" w:hAnsi="Century Gothic" w:cs="Arial"/>
                <w:color w:val="000000"/>
                <w:sz w:val="22"/>
                <w:szCs w:val="22"/>
              </w:rPr>
              <w:t>cia</w:t>
            </w:r>
          </w:p>
        </w:tc>
        <w:tc>
          <w:tcPr>
            <w:tcW w:w="7088" w:type="dxa"/>
            <w:gridSpan w:val="3"/>
          </w:tcPr>
          <w:p w14:paraId="1A034109"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 xml:space="preserve">APRENDIZAJE Y SERVICIO: EL DESAFÍO DE LA INTERDISCIPLINARIEDAD </w:t>
            </w:r>
          </w:p>
        </w:tc>
      </w:tr>
      <w:tr w:rsidR="00E616B6" w:rsidRPr="00A200BC" w14:paraId="057F93D2" w14:textId="77777777" w:rsidTr="00CD4F5D">
        <w:trPr>
          <w:trHeight w:val="489"/>
        </w:trPr>
        <w:tc>
          <w:tcPr>
            <w:tcW w:w="1740" w:type="dxa"/>
          </w:tcPr>
          <w:p w14:paraId="5BFDA35D" w14:textId="77777777"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Expositor 1</w:t>
            </w:r>
          </w:p>
        </w:tc>
        <w:tc>
          <w:tcPr>
            <w:tcW w:w="7088" w:type="dxa"/>
            <w:gridSpan w:val="3"/>
          </w:tcPr>
          <w:p w14:paraId="2C70FBFB"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Carolina Astudillo Castro</w:t>
            </w:r>
          </w:p>
        </w:tc>
      </w:tr>
      <w:tr w:rsidR="00E616B6" w:rsidRPr="00A200BC" w14:paraId="28E20872" w14:textId="77777777" w:rsidTr="00CD4F5D">
        <w:tc>
          <w:tcPr>
            <w:tcW w:w="1740" w:type="dxa"/>
          </w:tcPr>
          <w:p w14:paraId="0A568548" w14:textId="77777777"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Expositor 2</w:t>
            </w:r>
          </w:p>
        </w:tc>
        <w:tc>
          <w:tcPr>
            <w:tcW w:w="7088" w:type="dxa"/>
            <w:gridSpan w:val="3"/>
          </w:tcPr>
          <w:p w14:paraId="3443D228"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Loreto Morales Acevedo</w:t>
            </w:r>
          </w:p>
        </w:tc>
      </w:tr>
      <w:tr w:rsidR="00E616B6" w:rsidRPr="00A200BC" w14:paraId="209AB94E" w14:textId="77777777" w:rsidTr="00CD4F5D">
        <w:tc>
          <w:tcPr>
            <w:tcW w:w="1740" w:type="dxa"/>
          </w:tcPr>
          <w:p w14:paraId="026AD4EF" w14:textId="77777777"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Organización 1</w:t>
            </w:r>
          </w:p>
        </w:tc>
        <w:tc>
          <w:tcPr>
            <w:tcW w:w="7088" w:type="dxa"/>
            <w:gridSpan w:val="3"/>
          </w:tcPr>
          <w:p w14:paraId="57778E4B"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Pontificia Universidad Católica de Valparaíso</w:t>
            </w:r>
          </w:p>
        </w:tc>
      </w:tr>
      <w:tr w:rsidR="00E616B6" w:rsidRPr="00A200BC" w14:paraId="5995DA83" w14:textId="77777777" w:rsidTr="00CD4F5D">
        <w:trPr>
          <w:trHeight w:val="334"/>
        </w:trPr>
        <w:tc>
          <w:tcPr>
            <w:tcW w:w="1740" w:type="dxa"/>
          </w:tcPr>
          <w:p w14:paraId="6AC39896" w14:textId="77777777"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Organización 2</w:t>
            </w:r>
          </w:p>
        </w:tc>
        <w:tc>
          <w:tcPr>
            <w:tcW w:w="7088" w:type="dxa"/>
            <w:gridSpan w:val="3"/>
          </w:tcPr>
          <w:p w14:paraId="6CC1959F"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w:t>
            </w:r>
          </w:p>
        </w:tc>
      </w:tr>
      <w:tr w:rsidR="00E616B6" w:rsidRPr="00A200BC" w14:paraId="096338A2" w14:textId="77777777" w:rsidTr="00CD4F5D">
        <w:tc>
          <w:tcPr>
            <w:tcW w:w="1740" w:type="dxa"/>
          </w:tcPr>
          <w:p w14:paraId="64ECC734" w14:textId="77777777"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Tipo de Organización</w:t>
            </w:r>
          </w:p>
        </w:tc>
        <w:tc>
          <w:tcPr>
            <w:tcW w:w="7088" w:type="dxa"/>
            <w:gridSpan w:val="3"/>
          </w:tcPr>
          <w:p w14:paraId="6AA2FA24"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Educación superior</w:t>
            </w:r>
          </w:p>
        </w:tc>
        <w:bookmarkStart w:id="0" w:name="_GoBack"/>
        <w:bookmarkEnd w:id="0"/>
      </w:tr>
      <w:tr w:rsidR="00E616B6" w:rsidRPr="00A200BC" w14:paraId="5CEFB6FA" w14:textId="77777777" w:rsidTr="00CD4F5D">
        <w:tc>
          <w:tcPr>
            <w:tcW w:w="1740" w:type="dxa"/>
          </w:tcPr>
          <w:p w14:paraId="3E805480" w14:textId="77777777"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Comuna</w:t>
            </w:r>
          </w:p>
        </w:tc>
        <w:tc>
          <w:tcPr>
            <w:tcW w:w="2362" w:type="dxa"/>
          </w:tcPr>
          <w:p w14:paraId="5C368E70"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Valparaíso</w:t>
            </w:r>
          </w:p>
        </w:tc>
        <w:tc>
          <w:tcPr>
            <w:tcW w:w="2363" w:type="dxa"/>
          </w:tcPr>
          <w:p w14:paraId="340333A8"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t>Región</w:t>
            </w:r>
          </w:p>
        </w:tc>
        <w:tc>
          <w:tcPr>
            <w:tcW w:w="2363" w:type="dxa"/>
          </w:tcPr>
          <w:p w14:paraId="79E18D1E"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V Región</w:t>
            </w:r>
          </w:p>
        </w:tc>
      </w:tr>
      <w:tr w:rsidR="00E616B6" w:rsidRPr="00A200BC" w14:paraId="32A57138" w14:textId="77777777" w:rsidTr="00CD4F5D">
        <w:tc>
          <w:tcPr>
            <w:tcW w:w="1740" w:type="dxa"/>
          </w:tcPr>
          <w:p w14:paraId="734B710E" w14:textId="77777777" w:rsidR="00E616B6" w:rsidRPr="00A200BC" w:rsidRDefault="00E616B6" w:rsidP="00CD4F5D">
            <w:pPr>
              <w:rPr>
                <w:rFonts w:ascii="Century Gothic" w:eastAsia="Times New Roman" w:hAnsi="Century Gothic" w:cs="Arial"/>
                <w:color w:val="000000"/>
                <w:sz w:val="22"/>
                <w:szCs w:val="22"/>
              </w:rPr>
            </w:pPr>
            <w:r w:rsidRPr="00A200BC">
              <w:rPr>
                <w:rFonts w:ascii="Century Gothic" w:eastAsia="Times New Roman" w:hAnsi="Century Gothic" w:cs="Arial"/>
                <w:color w:val="000000"/>
                <w:sz w:val="22"/>
                <w:szCs w:val="22"/>
              </w:rPr>
              <w:t>Mail</w:t>
            </w:r>
          </w:p>
        </w:tc>
        <w:tc>
          <w:tcPr>
            <w:tcW w:w="7088" w:type="dxa"/>
            <w:gridSpan w:val="3"/>
          </w:tcPr>
          <w:p w14:paraId="303D16EE"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gladys.jimenez@pucv.cl</w:t>
            </w:r>
          </w:p>
        </w:tc>
      </w:tr>
    </w:tbl>
    <w:p w14:paraId="0FF53322" w14:textId="77777777" w:rsidR="00E616B6" w:rsidRPr="00A200BC" w:rsidRDefault="00E616B6" w:rsidP="00E616B6">
      <w:pPr>
        <w:rPr>
          <w:rFonts w:ascii="Century Gothic" w:hAnsi="Century Gothic"/>
          <w:sz w:val="22"/>
          <w:szCs w:val="22"/>
        </w:rPr>
      </w:pPr>
    </w:p>
    <w:tbl>
      <w:tblPr>
        <w:tblStyle w:val="Tablaconcuadrcula"/>
        <w:tblW w:w="0" w:type="auto"/>
        <w:tblLook w:val="04A0" w:firstRow="1" w:lastRow="0" w:firstColumn="1" w:lastColumn="0" w:noHBand="0" w:noVBand="1"/>
      </w:tblPr>
      <w:tblGrid>
        <w:gridCol w:w="1595"/>
        <w:gridCol w:w="7233"/>
      </w:tblGrid>
      <w:tr w:rsidR="00E616B6" w:rsidRPr="00A200BC" w14:paraId="51C0DA6E" w14:textId="77777777" w:rsidTr="00CD4F5D">
        <w:trPr>
          <w:trHeight w:val="627"/>
        </w:trPr>
        <w:tc>
          <w:tcPr>
            <w:tcW w:w="1783" w:type="dxa"/>
          </w:tcPr>
          <w:p w14:paraId="4CB76542"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t>Información General</w:t>
            </w:r>
          </w:p>
        </w:tc>
        <w:tc>
          <w:tcPr>
            <w:tcW w:w="7045" w:type="dxa"/>
          </w:tcPr>
          <w:p w14:paraId="32B480E0"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En esta línea, la metodología A+S se propone como una alternativa interesante de formación disciplinar e interdisciplinar, que contribuye al logro de la responsabilidad social, permitiendo integrar tres elementos centrales: el aprendizaje, el servicio y la reflexión estructurada; en este sentido, se proyecta, que en conjunto con el socio comunitario, se produzca un efecto sistémico significativo en la formación de los estudiantes de las asignaturas disciplinares: Teoría Organizacional 1 (Contador Auditor), Transferencia de Materia y Energía (Ingeniería y Alimentos); y Ética Cristiana, del programa de Formación Fundamental de la PUCV, espacio curricular transversal en los currículos de pregrado, que “… se corresponde con el sello distintivo institucional de la formación que tiene como base la visión cristiana del hombre” (PUCV, 2008: 5 y 6).</w:t>
            </w:r>
          </w:p>
        </w:tc>
      </w:tr>
      <w:tr w:rsidR="00E616B6" w:rsidRPr="00A200BC" w14:paraId="24DFF9C6" w14:textId="77777777" w:rsidTr="00CD4F5D">
        <w:tc>
          <w:tcPr>
            <w:tcW w:w="1783" w:type="dxa"/>
          </w:tcPr>
          <w:p w14:paraId="6E888B9E"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t>Resumen</w:t>
            </w:r>
          </w:p>
        </w:tc>
        <w:tc>
          <w:tcPr>
            <w:tcW w:w="7045" w:type="dxa"/>
          </w:tcPr>
          <w:p w14:paraId="07612E8D"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Hablar de lo interdisciplinario es un tema distante, porque el mundo académico se piensa y organiza desde la disciplina; hay un espacio mirado con recelo, pues obliga a los académicos establecer formas de dialogo donde la convergencia del conocimiento entra en pugna con el vocabulario profesional. </w:t>
            </w:r>
          </w:p>
          <w:p w14:paraId="36439E55"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Al respecto, el trabajo se genera a partir del quehacer de las carreras de Contador Auditor, Ingeniería de Alimentos y del Instituto de Ciencias Religiosas, cada una diferente en su campo de aplicación profesional, que buscan articularse hacia la resolución de problemáticas sociales a través del A+S interdisciplinario. El punto de convergencia es el compromiso con una formación atingente a las realidades sociales, donde es necesario aportar desde diferentes cuerpos epistemológicos del saber; de este modo, se responde a la formación universitaria en contextos donde se ejerce un liderazgo socialmente responsable y co-transformador.</w:t>
            </w:r>
          </w:p>
          <w:p w14:paraId="5B1DE4D1"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lastRenderedPageBreak/>
              <w:t>Es un estudio de corte cualititativo, donde los académicos reflexionan sobre sus preconcepciones a la luz de avanzar en el logro final propuesto; las evidencias se obtienen en las reflexiones y grupo focal realizado. Al mismo tiempo, que ellas se contrastan con las percepciones del socio comunitario y las de los estudiantes, una vez finalizado el proyecto.</w:t>
            </w:r>
          </w:p>
        </w:tc>
      </w:tr>
      <w:tr w:rsidR="00E616B6" w:rsidRPr="00A200BC" w14:paraId="28D70EBC" w14:textId="77777777" w:rsidTr="00CD4F5D">
        <w:tc>
          <w:tcPr>
            <w:tcW w:w="1783" w:type="dxa"/>
          </w:tcPr>
          <w:p w14:paraId="3F7DDE39"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lastRenderedPageBreak/>
              <w:t>Introducción</w:t>
            </w:r>
          </w:p>
        </w:tc>
        <w:tc>
          <w:tcPr>
            <w:tcW w:w="7045" w:type="dxa"/>
          </w:tcPr>
          <w:p w14:paraId="5AC2FA83"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La interdisciplinariedad es un espacio que desafía la reflexión, donde el análisis de la afectación social, establece puentes generadores de espacios de formación de los estudiantes no solo en solidaridad con el mundo real, sino también sinérgicos como respuestas atingentes a esa realidad desde diferentes cuerpos epistemológicos del saber. Poder establecer estos puentes en proyectos de Aprendizaje y Servicio, permite al estudiante formarse no solo en solidaridad con el socio comunitario, sino también percibir en esa sinergia que comporta el quehacer profesional, un mundo complejo e interconectado como el actual.</w:t>
            </w:r>
          </w:p>
          <w:p w14:paraId="05114A36" w14:textId="77777777" w:rsidR="00E616B6" w:rsidRPr="00A200BC" w:rsidRDefault="00E616B6" w:rsidP="00CD4F5D">
            <w:pPr>
              <w:rPr>
                <w:rFonts w:ascii="Century Gothic" w:hAnsi="Century Gothic" w:cstheme="minorBidi"/>
                <w:noProof/>
                <w:sz w:val="22"/>
                <w:szCs w:val="22"/>
              </w:rPr>
            </w:pPr>
          </w:p>
          <w:p w14:paraId="0358AC33"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Por otro lado, pensar en una formación profesional descontextualizada de las necesidades sociales, resulta ajeno a una formación de calidad y en especial en instituciones que se encuentran comprometidas desde su vocación hacia el servicio público, y, por tanto, con una formación que contribuya a la promoción de la dignidad humana y de una vida en sociedad que incluya a todos y todas en su desarrollo.</w:t>
            </w:r>
          </w:p>
          <w:p w14:paraId="7BD2C4F0" w14:textId="77777777" w:rsidR="00E616B6" w:rsidRPr="00A200BC" w:rsidRDefault="00E616B6" w:rsidP="00CD4F5D">
            <w:pPr>
              <w:rPr>
                <w:rFonts w:ascii="Century Gothic" w:hAnsi="Century Gothic" w:cstheme="minorBidi"/>
                <w:noProof/>
                <w:sz w:val="22"/>
                <w:szCs w:val="22"/>
              </w:rPr>
            </w:pPr>
          </w:p>
          <w:p w14:paraId="5FDA3607"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Lo anterior demanda una acción reflexiva y un diseño cuidadoso de la docencia, donde las integraciones de los objetivos de aprendizaje se puedan lograr mediante un proceso reflexivo, protagónico, de servicio e interdisciplinar de los estudiantes. </w:t>
            </w:r>
          </w:p>
          <w:p w14:paraId="51579AB6" w14:textId="77777777" w:rsidR="00E616B6" w:rsidRPr="00A200BC" w:rsidRDefault="00E616B6" w:rsidP="00CD4F5D">
            <w:pPr>
              <w:rPr>
                <w:rFonts w:ascii="Century Gothic" w:hAnsi="Century Gothic"/>
                <w:sz w:val="22"/>
                <w:szCs w:val="22"/>
              </w:rPr>
            </w:pPr>
          </w:p>
        </w:tc>
      </w:tr>
      <w:tr w:rsidR="00E616B6" w:rsidRPr="00A200BC" w14:paraId="79BD440F" w14:textId="77777777" w:rsidTr="00CD4F5D">
        <w:tc>
          <w:tcPr>
            <w:tcW w:w="1783" w:type="dxa"/>
          </w:tcPr>
          <w:p w14:paraId="5D5D1B3C"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t>Marco Teórico</w:t>
            </w:r>
          </w:p>
        </w:tc>
        <w:tc>
          <w:tcPr>
            <w:tcW w:w="7045" w:type="dxa"/>
          </w:tcPr>
          <w:p w14:paraId="57EABDF0"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La Misión, Visión, Proyecto Educativo y Plan de Desarrollo Estratégico Institucional 2017 – 2022, alertan a la institución acerca de un sentido de responsabilidad que supera la simple acción de responder a la sociedad, convocándola como sujeto moral y social (Casper, 2008). Así, es desde esta naturaleza que la institución es interpelada para apropiarse de una ética de la responsabilidad social, que tiene en cuenta tanto el cómo afecta su quehacer en el medio ambiente, cómo ella se ve afectada a partir de esta interacción con su territorio, así como la respuesta solidaria a los rostros de los seres humanos que demandan una respuesta por las acciones emprendidas (Gamboa, Jiménez, Jiménez &amp; Lombardo, 2014). </w:t>
            </w:r>
          </w:p>
          <w:p w14:paraId="638584AA" w14:textId="77777777" w:rsidR="00E616B6" w:rsidRPr="00A200BC" w:rsidRDefault="00E616B6" w:rsidP="00CD4F5D">
            <w:pPr>
              <w:rPr>
                <w:rFonts w:ascii="Century Gothic" w:hAnsi="Century Gothic" w:cstheme="minorBidi"/>
                <w:noProof/>
                <w:sz w:val="22"/>
                <w:szCs w:val="22"/>
              </w:rPr>
            </w:pPr>
          </w:p>
          <w:p w14:paraId="143F5DDB"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En este contexto de formación universitaria, se busca la integración de la formación en responsabilidad social con los elementos claves de la metodología A+S, especialmente, el equilibrio entre los aprendizajes de los estudiantes con el servicio </w:t>
            </w:r>
            <w:r w:rsidRPr="00A200BC">
              <w:rPr>
                <w:rFonts w:ascii="Century Gothic" w:hAnsi="Century Gothic" w:cstheme="minorBidi"/>
                <w:noProof/>
                <w:sz w:val="22"/>
                <w:szCs w:val="22"/>
              </w:rPr>
              <w:lastRenderedPageBreak/>
              <w:t xml:space="preserve">orientado a una necesidad real de una comunidad (Furco y Billing, 2002), que supone respuestas interdisciplinarias frente a los acuciantes problemas que aquejan, especialmente, a los excluidos. </w:t>
            </w:r>
          </w:p>
          <w:p w14:paraId="5E0043D8"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El proyecto Aprendizaje y Servicio responde a tres dimensiones de formación universitaria: </w:t>
            </w:r>
          </w:p>
          <w:p w14:paraId="4B379288"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a)</w:t>
            </w:r>
            <w:r w:rsidRPr="00A200BC">
              <w:rPr>
                <w:rFonts w:ascii="Century Gothic" w:hAnsi="Century Gothic" w:cstheme="minorBidi"/>
                <w:noProof/>
                <w:sz w:val="22"/>
                <w:szCs w:val="22"/>
              </w:rPr>
              <w:tab/>
              <w:t xml:space="preserve">Una académica que vincula la teoría con la práctica en contextos sociales reales de la formación disciplinar; </w:t>
            </w:r>
          </w:p>
          <w:p w14:paraId="2DFD35D0"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b)</w:t>
            </w:r>
            <w:r w:rsidRPr="00A200BC">
              <w:rPr>
                <w:rFonts w:ascii="Century Gothic" w:hAnsi="Century Gothic" w:cstheme="minorBidi"/>
                <w:noProof/>
                <w:sz w:val="22"/>
                <w:szCs w:val="22"/>
              </w:rPr>
              <w:tab/>
              <w:t xml:space="preserve">Otra relacionada con la vocación de servicio al prójimo, propio del sello valórico PUCV, contribuyendo a la solución de problemáticas comunitarias, desde la disciplina; </w:t>
            </w:r>
          </w:p>
          <w:p w14:paraId="66062E33"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c)</w:t>
            </w:r>
            <w:r w:rsidRPr="00A200BC">
              <w:rPr>
                <w:rFonts w:ascii="Century Gothic" w:hAnsi="Century Gothic" w:cstheme="minorBidi"/>
                <w:noProof/>
                <w:sz w:val="22"/>
                <w:szCs w:val="22"/>
              </w:rPr>
              <w:tab/>
              <w:t>Una tercera, correspondiente a la formación valórica de los estudiantes, en especial, la responsabilidad social, concebida desde su dimensión ética de respeto a la dignidad de la persona, el bien común y la sostenibilidad de nuestra casa común; una forma de ser y habitar el territorio que interpela a los estudiantes a actuar en solidaridad con el mundo real, y con la capacidad de gestionar éticamente los efectos de las propias decisiones y actuaciones a favor del bien común y la construcción de una sociedad más justa, fraterna, sostenible; a la vez que se pone a disposición de los beneficiarios los aprendizajes disciplinarios e interdisciplinarios, de modo de responder conjuntamente con los socios comunitarios a las necesidades diagnosticadas.</w:t>
            </w:r>
          </w:p>
          <w:p w14:paraId="162738DD"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Durante la etapa de implementación, segundo semestre 2017,  el proceso reflexivo es un eje transversal, donde se relevan tres momentos vinculados a la interdisciplinariedad: el primero corresponderá a la interacción de los estudiantes de los tres cursos en torno al desafío que les genera su formación en vinculación solidaria con los habitantes del Barrio La Matriz; el segundo, focalizado en el desarrollo de sus habilidades de comunicación, liderazgo, trabajo en equipo interdisciplinario y de responsabilidad social; el tercero se concretará en una Jornada con la participación de docentes, estudiantes de las tres asignaturas y socios comunitarios, centrado en las experiencias grupales de la integración del A+S como estrategias didáctica del aprendizaje disciplinar e interdisciplinar.</w:t>
            </w:r>
          </w:p>
        </w:tc>
      </w:tr>
      <w:tr w:rsidR="00E616B6" w:rsidRPr="00A200BC" w14:paraId="0C5CF9B1" w14:textId="77777777" w:rsidTr="00CD4F5D">
        <w:tc>
          <w:tcPr>
            <w:tcW w:w="1783" w:type="dxa"/>
          </w:tcPr>
          <w:p w14:paraId="6CE8E21E"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lastRenderedPageBreak/>
              <w:t>Metodología</w:t>
            </w:r>
          </w:p>
        </w:tc>
        <w:tc>
          <w:tcPr>
            <w:tcW w:w="7045" w:type="dxa"/>
          </w:tcPr>
          <w:p w14:paraId="3D377DAD"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Dados los objetivos del estudio, una perspectiva cualitativa (Alvarez-Gayou, 2003), ya permite evidenciar mejor las construcciones sociales que emergen desde la aplicación de experiencias educativas en A+S. </w:t>
            </w:r>
          </w:p>
          <w:p w14:paraId="14DD3B87"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Por un lado, uUn enfoque autoetnográfico facilita el análisis sistemático de la experiencia personal, en este caso de los académicos, con el fin de comprender la experiencia cultural, y de este modo, enlazar desde la narrativa de los docentes, la experiencia vivida en lo interdisciplinar, los significados atribuidos a ella, reconociendo las claves sociales, políticas y estructurales que dan fidelidad a esta narración (Ellis, Adams&amp; Bochner, 2015). </w:t>
            </w:r>
            <w:r w:rsidRPr="00A200BC">
              <w:rPr>
                <w:rFonts w:ascii="Century Gothic" w:hAnsi="Century Gothic" w:cstheme="minorBidi"/>
                <w:noProof/>
                <w:sz w:val="22"/>
                <w:szCs w:val="22"/>
              </w:rPr>
              <w:lastRenderedPageBreak/>
              <w:t>La producción de datos se realiza mediante la sistematización y registro de las reflexiones en las reuniones de trabajo.</w:t>
            </w:r>
          </w:p>
          <w:p w14:paraId="0641702E"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 xml:space="preserve">Por otro lado, se realiza la combinación de dos técnicas al final del proyecto, entre entrevista grupal semiestructurada y lluvia de ideas, con la participación de socios comunitarios, docentes y estudiantes, elegida como técnica, pues nos aproxima al reconocimiento de la participación en el proceso desarrollado a lo largo del proyecto, donde una narrativa colectiva trasciende a la individual (Bleger, 1982). </w:t>
            </w:r>
          </w:p>
          <w:p w14:paraId="177948CA"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Para el análisis de datos se utiliza una estrategia inductiva, propia del enfoque etnográfico, así el análisis narrativo y la reinterpretación continua de estos análisis permite la emergencia de las categorías que dan cuenta de las percepciones y del proceso de construcción de las mismas.</w:t>
            </w:r>
          </w:p>
          <w:p w14:paraId="22EA2A14" w14:textId="77777777" w:rsidR="00E616B6" w:rsidRPr="00A200BC" w:rsidRDefault="00E616B6" w:rsidP="00CD4F5D">
            <w:pPr>
              <w:rPr>
                <w:rFonts w:ascii="Century Gothic" w:hAnsi="Century Gothic"/>
                <w:sz w:val="22"/>
                <w:szCs w:val="22"/>
              </w:rPr>
            </w:pPr>
          </w:p>
        </w:tc>
      </w:tr>
      <w:tr w:rsidR="00E616B6" w:rsidRPr="00A200BC" w14:paraId="5351C09E" w14:textId="77777777" w:rsidTr="00CD4F5D">
        <w:tc>
          <w:tcPr>
            <w:tcW w:w="1783" w:type="dxa"/>
          </w:tcPr>
          <w:p w14:paraId="65E3A628"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lastRenderedPageBreak/>
              <w:t>Resultado</w:t>
            </w:r>
          </w:p>
        </w:tc>
        <w:tc>
          <w:tcPr>
            <w:tcW w:w="7045" w:type="dxa"/>
          </w:tcPr>
          <w:p w14:paraId="696A48D6"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1. Resultados desde las preconcepciones de los docentes</w:t>
            </w:r>
          </w:p>
          <w:p w14:paraId="2D7920B2"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Con relación a los resultados de las preconcepciones de los docentes que se corresponden a la reflexión realizada por el grupo de docentes durante la primera etapa de proyectos de mejoramiento de la docencia con relación a tres asignaturas que se dictarán en el segundo semestre académico del año 2017, y las preconcepciones que surgen entre ellos a la hora de implementar la metodología de A+S desde una mirada interdisciplinaria. Este proceso metacognitivo de reflexión, hizo posible inferir, fundamentalmente, tres dimensiones, relacionadas con las preconcepciones de los docentes participantes:</w:t>
            </w:r>
          </w:p>
          <w:p w14:paraId="1AE8162C"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i.</w:t>
            </w:r>
            <w:r w:rsidRPr="00A200BC">
              <w:rPr>
                <w:rFonts w:ascii="Century Gothic" w:hAnsi="Century Gothic" w:cstheme="minorBidi"/>
                <w:noProof/>
                <w:sz w:val="22"/>
                <w:szCs w:val="22"/>
              </w:rPr>
              <w:tab/>
              <w:t xml:space="preserve">Aprender de otras experiencias, aunque las relaciones con los contenidos y entre estudiantes no son posibles de predecir </w:t>
            </w:r>
          </w:p>
          <w:p w14:paraId="54A750BA"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ii.</w:t>
            </w:r>
            <w:r w:rsidRPr="00A200BC">
              <w:rPr>
                <w:rFonts w:ascii="Century Gothic" w:hAnsi="Century Gothic" w:cstheme="minorBidi"/>
                <w:noProof/>
                <w:sz w:val="22"/>
                <w:szCs w:val="22"/>
              </w:rPr>
              <w:tab/>
              <w:t>Preconcepciones acerca de las posibilidades de implementación que se tensiona con el imperativo de contactar a los estudiantes con la realidad social</w:t>
            </w:r>
          </w:p>
          <w:p w14:paraId="31D0D8FF"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iii.</w:t>
            </w:r>
            <w:r w:rsidRPr="00A200BC">
              <w:rPr>
                <w:rFonts w:ascii="Century Gothic" w:hAnsi="Century Gothic" w:cstheme="minorBidi"/>
                <w:noProof/>
                <w:sz w:val="22"/>
                <w:szCs w:val="22"/>
              </w:rPr>
              <w:tab/>
              <w:t>El encuentro de las disciplinas desde el diálogo y las motivaciones de los docentes y estudiantes</w:t>
            </w:r>
          </w:p>
          <w:p w14:paraId="342177EB" w14:textId="77777777" w:rsidR="00E616B6" w:rsidRPr="00A200BC" w:rsidRDefault="00E616B6" w:rsidP="00CD4F5D">
            <w:pPr>
              <w:rPr>
                <w:rFonts w:ascii="Century Gothic" w:hAnsi="Century Gothic" w:cstheme="minorBidi"/>
                <w:noProof/>
                <w:sz w:val="22"/>
                <w:szCs w:val="22"/>
              </w:rPr>
            </w:pPr>
          </w:p>
          <w:p w14:paraId="03023E94"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2. Resultados desde las percepciones de docentes, estudiantes y socios comunitarios al finalizar el proyecto</w:t>
            </w:r>
          </w:p>
          <w:p w14:paraId="08275CD4"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Se genera una instancia que permite el intercambio de experiencias, aplicando una combinación de técnicas entre entrevista grupal semiestructurada y lluvia de ideas, sobre la base de tres preguntas: ¿Con qué me voy?, ¿Que dejé? y ¿Qué cambiaría?, respecto de las cuales, los resultados que surgen dice relación con:</w:t>
            </w:r>
          </w:p>
          <w:p w14:paraId="6920F92C"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i.</w:t>
            </w:r>
            <w:r w:rsidRPr="00A200BC">
              <w:rPr>
                <w:rFonts w:ascii="Century Gothic" w:hAnsi="Century Gothic" w:cstheme="minorBidi"/>
                <w:noProof/>
                <w:sz w:val="22"/>
                <w:szCs w:val="22"/>
              </w:rPr>
              <w:tab/>
              <w:t>Me voy con gratitud por la experiencia compartida</w:t>
            </w:r>
          </w:p>
          <w:p w14:paraId="3103FABF"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ii.</w:t>
            </w:r>
            <w:r w:rsidRPr="00A200BC">
              <w:rPr>
                <w:rFonts w:ascii="Century Gothic" w:hAnsi="Century Gothic" w:cstheme="minorBidi"/>
                <w:noProof/>
                <w:sz w:val="22"/>
                <w:szCs w:val="22"/>
              </w:rPr>
              <w:tab/>
              <w:t>Relaciones construidas desde lo afectivo</w:t>
            </w:r>
          </w:p>
          <w:p w14:paraId="00B73FEA"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iii.</w:t>
            </w:r>
            <w:r w:rsidRPr="00A200BC">
              <w:rPr>
                <w:rFonts w:ascii="Century Gothic" w:hAnsi="Century Gothic" w:cstheme="minorBidi"/>
                <w:noProof/>
                <w:sz w:val="22"/>
                <w:szCs w:val="22"/>
              </w:rPr>
              <w:tab/>
              <w:t>Desconocimiento de una estructura detrás</w:t>
            </w:r>
          </w:p>
          <w:p w14:paraId="111BB546" w14:textId="77777777" w:rsidR="00E616B6" w:rsidRPr="00A200BC" w:rsidRDefault="00E616B6" w:rsidP="00CD4F5D">
            <w:pPr>
              <w:rPr>
                <w:rFonts w:ascii="Century Gothic" w:hAnsi="Century Gothic" w:cstheme="minorBidi"/>
                <w:noProof/>
                <w:sz w:val="22"/>
                <w:szCs w:val="22"/>
              </w:rPr>
            </w:pPr>
          </w:p>
          <w:p w14:paraId="6F05F9EC" w14:textId="77777777" w:rsidR="00E616B6" w:rsidRPr="00A200BC" w:rsidRDefault="00E616B6" w:rsidP="00CD4F5D">
            <w:pPr>
              <w:rPr>
                <w:rFonts w:ascii="Century Gothic" w:hAnsi="Century Gothic"/>
                <w:sz w:val="22"/>
                <w:szCs w:val="22"/>
              </w:rPr>
            </w:pPr>
          </w:p>
        </w:tc>
      </w:tr>
      <w:tr w:rsidR="00E616B6" w:rsidRPr="00A200BC" w14:paraId="17A33ADF" w14:textId="77777777" w:rsidTr="00CD4F5D">
        <w:tc>
          <w:tcPr>
            <w:tcW w:w="1783" w:type="dxa"/>
          </w:tcPr>
          <w:p w14:paraId="02574299"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lastRenderedPageBreak/>
              <w:t>Conclusiones</w:t>
            </w:r>
          </w:p>
        </w:tc>
        <w:tc>
          <w:tcPr>
            <w:tcW w:w="7045" w:type="dxa"/>
          </w:tcPr>
          <w:p w14:paraId="68A288D9"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La formación universitaria es percibida distante y segmentada de la experiencia vital, por lo que metodologías como estas permiten recuperar y resignificar la noción de vida universitaria, como un proceso vital reflexivo de la realidad, multicultural, integrador y en alteridad que atiende a la construcción del proyecto de vida de los estudiantes</w:t>
            </w:r>
          </w:p>
          <w:p w14:paraId="3E68DF8D"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La sobreexposición de la experiencia afectiva por sobre lo técnico, supone el desafío curricular de lograr miradas integradoras de A+S, especialmente en el rol de facilitador y mediador que ejerce el docente, no solo como administrador de la asignatura sino como un tercer agente del proceso.</w:t>
            </w:r>
          </w:p>
          <w:p w14:paraId="5854F239"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El gran desafío es transitar de la intervención a la co-transformación, permitiendo replicar creativamente semestre a semestre la experiencia recogida, construyendo una relación de confianza con el socio y de valoración mutua.</w:t>
            </w:r>
          </w:p>
          <w:p w14:paraId="4DDD51EB"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La confluencia de todas las asignaturas en un mismo socio, ofrece la oportunidad de resolver la complejidad social desde diferentes miradas, sin embargo, no se evidenció que esta oportunidad haya estado presente</w:t>
            </w:r>
          </w:p>
          <w:p w14:paraId="3E9C7CB6"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A+S como proceso, se sostiene sobre el tipo de relación afectiva que se establece lo que aporta gran fragilidad si no se hace una adecuada inducción o los docentes no se involucran proactivamente identificando potenciales focos de conflicto.</w:t>
            </w:r>
          </w:p>
          <w:p w14:paraId="146931E1"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Por todo lo dicho, el pilar del proceso resulta en las formas e instancias de evaluación, comprendidas estas como una toma de datos que facilite la retroalimentación de todos los participantes en el proceso.</w:t>
            </w:r>
          </w:p>
          <w:p w14:paraId="22AB3D76"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Se constata que se le atribuye a este camino de formación universitaria, la relevancia de constituirse en un espacio que fortalece la reflexión ética de las actuaciones propias y estudiantiles, como el asumir perspectivas reflexivas y co-transformadoras interdisciplinarias en el desarrollo de la docencia realizada. Se puede decir, que, se teje un camino que corrobora lo señalado por Jiménez et al. (2015), al poner en el centro una ética de la responsabilidad social, que tiene en cuenta tanto el cómo afectará el quehacer disciplinar e interdisciplinar, tanto en la dimensión ecológica como en los rostros de los seres humanos, que demandan una respuesta por las acciones emprendidas.</w:t>
            </w:r>
          </w:p>
          <w:p w14:paraId="1E619E9A" w14:textId="77777777" w:rsidR="00E616B6" w:rsidRPr="00A200BC" w:rsidRDefault="00E616B6" w:rsidP="00CD4F5D">
            <w:pPr>
              <w:rPr>
                <w:rFonts w:ascii="Century Gothic" w:hAnsi="Century Gothic" w:cstheme="minorBidi"/>
                <w:noProof/>
                <w:sz w:val="22"/>
                <w:szCs w:val="22"/>
              </w:rPr>
            </w:pPr>
            <w:r w:rsidRPr="00A200BC">
              <w:rPr>
                <w:rFonts w:ascii="Century Gothic" w:hAnsi="Century Gothic" w:cstheme="minorBidi"/>
                <w:noProof/>
                <w:sz w:val="22"/>
                <w:szCs w:val="22"/>
              </w:rPr>
              <w:t>–</w:t>
            </w:r>
            <w:r w:rsidRPr="00A200BC">
              <w:rPr>
                <w:rFonts w:ascii="Century Gothic" w:hAnsi="Century Gothic" w:cstheme="minorBidi"/>
                <w:noProof/>
                <w:sz w:val="22"/>
                <w:szCs w:val="22"/>
              </w:rPr>
              <w:tab/>
              <w:t>Por último, el aprendizaje experiencial de lo interdisciplinario, da cuenta de la urgencia para avanzar en este sentido, en especial a través de iniciativas de A+S, con la concurrencia de equipos de académicos, de lo contrario se dificulta el desempeño profesional en un mundo complejo e interconectado</w:t>
            </w:r>
          </w:p>
          <w:p w14:paraId="220E3F68" w14:textId="77777777" w:rsidR="00E616B6" w:rsidRPr="00A200BC" w:rsidRDefault="00E616B6" w:rsidP="00CD4F5D">
            <w:pPr>
              <w:rPr>
                <w:rFonts w:ascii="Century Gothic" w:hAnsi="Century Gothic"/>
                <w:sz w:val="22"/>
                <w:szCs w:val="22"/>
              </w:rPr>
            </w:pPr>
          </w:p>
        </w:tc>
      </w:tr>
      <w:tr w:rsidR="00E616B6" w:rsidRPr="00A200BC" w14:paraId="56FCBE66" w14:textId="77777777" w:rsidTr="00CD4F5D">
        <w:tc>
          <w:tcPr>
            <w:tcW w:w="1783" w:type="dxa"/>
          </w:tcPr>
          <w:p w14:paraId="6C16386D"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t>Bibliografía</w:t>
            </w:r>
          </w:p>
        </w:tc>
        <w:tc>
          <w:tcPr>
            <w:tcW w:w="7045" w:type="dxa"/>
          </w:tcPr>
          <w:p w14:paraId="7FC4E3D2" w14:textId="77777777" w:rsidR="001D7A16" w:rsidRPr="00A200BC" w:rsidRDefault="001D7A16" w:rsidP="001D7A16">
            <w:pPr>
              <w:rPr>
                <w:rFonts w:ascii="Century Gothic" w:eastAsia="Times New Roman" w:hAnsi="Century Gothic" w:cs="Arial"/>
                <w:sz w:val="20"/>
                <w:szCs w:val="20"/>
              </w:rPr>
            </w:pPr>
            <w:r w:rsidRPr="001D7A16">
              <w:rPr>
                <w:rFonts w:ascii="Century Gothic" w:eastAsia="Times New Roman" w:hAnsi="Century Gothic" w:cs="Arial"/>
                <w:sz w:val="20"/>
                <w:szCs w:val="20"/>
              </w:rPr>
              <w:t>- Álvarez-</w:t>
            </w:r>
            <w:proofErr w:type="spellStart"/>
            <w:r w:rsidRPr="001D7A16">
              <w:rPr>
                <w:rFonts w:ascii="Century Gothic" w:eastAsia="Times New Roman" w:hAnsi="Century Gothic" w:cs="Arial"/>
                <w:sz w:val="20"/>
                <w:szCs w:val="20"/>
              </w:rPr>
              <w:t>Gayou</w:t>
            </w:r>
            <w:proofErr w:type="spellEnd"/>
            <w:r w:rsidRPr="001D7A16">
              <w:rPr>
                <w:rFonts w:ascii="Century Gothic" w:eastAsia="Times New Roman" w:hAnsi="Century Gothic" w:cs="Arial"/>
                <w:sz w:val="20"/>
                <w:szCs w:val="20"/>
              </w:rPr>
              <w:t>, J. (2003). Cómo hacer investigación cualitativa. Fundamentos y   metodología. México: Paidós.</w:t>
            </w:r>
            <w:r w:rsidRPr="001D7A16">
              <w:rPr>
                <w:rFonts w:ascii="Century Gothic" w:eastAsia="Times New Roman" w:hAnsi="Century Gothic" w:cs="Arial"/>
                <w:sz w:val="20"/>
                <w:szCs w:val="20"/>
              </w:rPr>
              <w:br/>
            </w:r>
            <w:r w:rsidRPr="001D7A16">
              <w:rPr>
                <w:rFonts w:ascii="Century Gothic" w:eastAsia="Times New Roman" w:hAnsi="Century Gothic" w:cs="Arial"/>
                <w:sz w:val="20"/>
                <w:szCs w:val="20"/>
              </w:rPr>
              <w:lastRenderedPageBreak/>
              <w:t>- Bleger, J. (1982) Temas de psicología: entrevista y grupos. Ediciones Nueva Visión. Buenos Aires, Argentina. 177p.</w:t>
            </w:r>
            <w:r w:rsidRPr="001D7A16">
              <w:rPr>
                <w:rFonts w:ascii="Century Gothic" w:eastAsia="Times New Roman" w:hAnsi="Century Gothic" w:cs="Arial"/>
                <w:sz w:val="20"/>
                <w:szCs w:val="20"/>
              </w:rPr>
              <w:br/>
              <w:t xml:space="preserve">- Ellis, C.; Adams T. &amp; </w:t>
            </w:r>
            <w:proofErr w:type="spellStart"/>
            <w:r w:rsidRPr="001D7A16">
              <w:rPr>
                <w:rFonts w:ascii="Century Gothic" w:eastAsia="Times New Roman" w:hAnsi="Century Gothic" w:cs="Arial"/>
                <w:sz w:val="20"/>
                <w:szCs w:val="20"/>
              </w:rPr>
              <w:t>Bochner</w:t>
            </w:r>
            <w:proofErr w:type="spellEnd"/>
            <w:r w:rsidRPr="001D7A16">
              <w:rPr>
                <w:rFonts w:ascii="Century Gothic" w:eastAsia="Times New Roman" w:hAnsi="Century Gothic" w:cs="Arial"/>
                <w:sz w:val="20"/>
                <w:szCs w:val="20"/>
              </w:rPr>
              <w:t xml:space="preserve">, A. (2015) </w:t>
            </w:r>
            <w:proofErr w:type="spellStart"/>
            <w:r w:rsidRPr="001D7A16">
              <w:rPr>
                <w:rFonts w:ascii="Century Gothic" w:eastAsia="Times New Roman" w:hAnsi="Century Gothic" w:cs="Arial"/>
                <w:sz w:val="20"/>
                <w:szCs w:val="20"/>
              </w:rPr>
              <w:t>Autoetnografía</w:t>
            </w:r>
            <w:proofErr w:type="spellEnd"/>
            <w:r w:rsidRPr="001D7A16">
              <w:rPr>
                <w:rFonts w:ascii="Century Gothic" w:eastAsia="Times New Roman" w:hAnsi="Century Gothic" w:cs="Arial"/>
                <w:sz w:val="20"/>
                <w:szCs w:val="20"/>
              </w:rPr>
              <w:t xml:space="preserve">: un panorama. </w:t>
            </w:r>
            <w:proofErr w:type="spellStart"/>
            <w:r w:rsidRPr="00054C1E">
              <w:rPr>
                <w:rFonts w:ascii="Century Gothic" w:eastAsia="Times New Roman" w:hAnsi="Century Gothic" w:cs="Arial"/>
                <w:sz w:val="20"/>
                <w:szCs w:val="20"/>
                <w:lang w:val="en-US"/>
              </w:rPr>
              <w:t>Astrolabio</w:t>
            </w:r>
            <w:proofErr w:type="spellEnd"/>
            <w:r w:rsidRPr="00054C1E">
              <w:rPr>
                <w:rFonts w:ascii="Century Gothic" w:eastAsia="Times New Roman" w:hAnsi="Century Gothic" w:cs="Arial"/>
                <w:sz w:val="20"/>
                <w:szCs w:val="20"/>
                <w:lang w:val="en-US"/>
              </w:rPr>
              <w:t>. 1(14)249-273</w:t>
            </w:r>
            <w:r w:rsidRPr="00054C1E">
              <w:rPr>
                <w:rFonts w:ascii="Century Gothic" w:eastAsia="Times New Roman" w:hAnsi="Century Gothic" w:cs="Arial"/>
                <w:sz w:val="20"/>
                <w:szCs w:val="20"/>
                <w:lang w:val="en-US"/>
              </w:rPr>
              <w:br/>
              <w:t xml:space="preserve">- </w:t>
            </w:r>
            <w:proofErr w:type="spellStart"/>
            <w:r w:rsidRPr="00054C1E">
              <w:rPr>
                <w:rFonts w:ascii="Century Gothic" w:eastAsia="Times New Roman" w:hAnsi="Century Gothic" w:cs="Arial"/>
                <w:sz w:val="20"/>
                <w:szCs w:val="20"/>
                <w:lang w:val="en-US"/>
              </w:rPr>
              <w:t>Furco</w:t>
            </w:r>
            <w:proofErr w:type="spellEnd"/>
            <w:r w:rsidRPr="00054C1E">
              <w:rPr>
                <w:rFonts w:ascii="Century Gothic" w:eastAsia="Times New Roman" w:hAnsi="Century Gothic" w:cs="Arial"/>
                <w:sz w:val="20"/>
                <w:szCs w:val="20"/>
                <w:lang w:val="en-US"/>
              </w:rPr>
              <w:t xml:space="preserve">, A. y S, </w:t>
            </w:r>
            <w:proofErr w:type="spellStart"/>
            <w:r w:rsidRPr="00054C1E">
              <w:rPr>
                <w:rFonts w:ascii="Century Gothic" w:eastAsia="Times New Roman" w:hAnsi="Century Gothic" w:cs="Arial"/>
                <w:sz w:val="20"/>
                <w:szCs w:val="20"/>
                <w:lang w:val="en-US"/>
              </w:rPr>
              <w:t>Billig</w:t>
            </w:r>
            <w:proofErr w:type="spellEnd"/>
            <w:r w:rsidRPr="00054C1E">
              <w:rPr>
                <w:rFonts w:ascii="Century Gothic" w:eastAsia="Times New Roman" w:hAnsi="Century Gothic" w:cs="Arial"/>
                <w:sz w:val="20"/>
                <w:szCs w:val="20"/>
                <w:lang w:val="en-US"/>
              </w:rPr>
              <w:t xml:space="preserve">, (2002) Service learning: the essence of pedagogy. </w:t>
            </w:r>
            <w:r w:rsidRPr="001D7A16">
              <w:rPr>
                <w:rFonts w:ascii="Century Gothic" w:eastAsia="Times New Roman" w:hAnsi="Century Gothic" w:cs="Arial"/>
                <w:sz w:val="20"/>
                <w:szCs w:val="20"/>
              </w:rPr>
              <w:t>Connecticut, IAP.</w:t>
            </w:r>
            <w:r w:rsidRPr="001D7A16">
              <w:rPr>
                <w:rFonts w:ascii="Century Gothic" w:eastAsia="Times New Roman" w:hAnsi="Century Gothic" w:cs="Arial"/>
                <w:sz w:val="20"/>
                <w:szCs w:val="20"/>
              </w:rPr>
              <w:br/>
              <w:t>- Gamboa, A. Jiménez G.; Jiménez M.; Lombardo, P. (2014). Formación en Responsabilidad Pro-social. Caminos Latinoamericanos de una Innovación Curricular. SPRING. http://www.spring-alfa-pucv.cl/category/publicaciones</w:t>
            </w:r>
            <w:r w:rsidRPr="001D7A16">
              <w:rPr>
                <w:rFonts w:ascii="Century Gothic" w:eastAsia="Times New Roman" w:hAnsi="Century Gothic" w:cs="Arial"/>
                <w:sz w:val="20"/>
                <w:szCs w:val="20"/>
              </w:rPr>
              <w:br/>
              <w:t xml:space="preserve">- </w:t>
            </w:r>
            <w:proofErr w:type="spellStart"/>
            <w:r w:rsidRPr="001D7A16">
              <w:rPr>
                <w:rFonts w:ascii="Century Gothic" w:eastAsia="Times New Roman" w:hAnsi="Century Gothic" w:cs="Arial"/>
                <w:sz w:val="20"/>
                <w:szCs w:val="20"/>
              </w:rPr>
              <w:t>Jouannet</w:t>
            </w:r>
            <w:proofErr w:type="spellEnd"/>
            <w:r w:rsidRPr="001D7A16">
              <w:rPr>
                <w:rFonts w:ascii="Century Gothic" w:eastAsia="Times New Roman" w:hAnsi="Century Gothic" w:cs="Arial"/>
                <w:sz w:val="20"/>
                <w:szCs w:val="20"/>
              </w:rPr>
              <w:t>, Ch., Salas, M., &amp; Contreras, M. (2013). Modelo de implementación de Aprendizaje Servicio (A+S) en la UC: Una experiencia que impacta positivamente en la formación profesional integral. Calidad en la educación, (39), 197-212. https://dx.doi.org/10.4067/S0718-45652013000200007</w:t>
            </w:r>
            <w:r w:rsidRPr="001D7A16">
              <w:rPr>
                <w:rFonts w:ascii="Century Gothic" w:eastAsia="Times New Roman" w:hAnsi="Century Gothic" w:cs="Arial"/>
                <w:sz w:val="20"/>
                <w:szCs w:val="20"/>
              </w:rPr>
              <w:br/>
              <w:t>- Morín, E. (2010). Sobre la Interdisciplinariedad. Publicaciones ECESI, Colombia.</w:t>
            </w:r>
            <w:r w:rsidRPr="001D7A16">
              <w:rPr>
                <w:rFonts w:ascii="Century Gothic" w:eastAsia="Times New Roman" w:hAnsi="Century Gothic" w:cs="Arial"/>
                <w:sz w:val="20"/>
                <w:szCs w:val="20"/>
              </w:rPr>
              <w:br/>
              <w:t>- PUCV. (2008). Pontificia Universidad Católica de Valparaíso. Competencias Genéricas de Formación Fundamental.</w:t>
            </w:r>
            <w:r w:rsidRPr="001D7A16">
              <w:rPr>
                <w:rFonts w:ascii="Century Gothic" w:eastAsia="Times New Roman" w:hAnsi="Century Gothic" w:cs="Arial"/>
                <w:sz w:val="20"/>
                <w:szCs w:val="20"/>
              </w:rPr>
              <w:br/>
              <w:t xml:space="preserve">- </w:t>
            </w:r>
            <w:proofErr w:type="spellStart"/>
            <w:r w:rsidRPr="001D7A16">
              <w:rPr>
                <w:rFonts w:ascii="Century Gothic" w:eastAsia="Times New Roman" w:hAnsi="Century Gothic" w:cs="Arial"/>
                <w:sz w:val="20"/>
                <w:szCs w:val="20"/>
              </w:rPr>
              <w:t>Xarur</w:t>
            </w:r>
            <w:proofErr w:type="spellEnd"/>
            <w:r w:rsidRPr="001D7A16">
              <w:rPr>
                <w:rFonts w:ascii="Century Gothic" w:eastAsia="Times New Roman" w:hAnsi="Century Gothic" w:cs="Arial"/>
                <w:sz w:val="20"/>
                <w:szCs w:val="20"/>
              </w:rPr>
              <w:t>, M. (2008) La reflexión sobre la responsabilidad social universitaria –RSU y su sentido para la educación superior en la sociedad latinoamericana y caribeña. Educación Superior y Sociedad. UNESCO</w:t>
            </w:r>
          </w:p>
          <w:p w14:paraId="04EEC4B3" w14:textId="1F9A2288" w:rsidR="00E616B6" w:rsidRPr="00A200BC" w:rsidRDefault="00E616B6" w:rsidP="00CD4F5D">
            <w:pPr>
              <w:rPr>
                <w:rFonts w:ascii="Century Gothic" w:hAnsi="Century Gothic"/>
                <w:sz w:val="22"/>
                <w:szCs w:val="22"/>
              </w:rPr>
            </w:pPr>
          </w:p>
        </w:tc>
      </w:tr>
      <w:tr w:rsidR="00E616B6" w:rsidRPr="00A200BC" w14:paraId="6AA4F2A9" w14:textId="77777777" w:rsidTr="001D7A16">
        <w:trPr>
          <w:trHeight w:val="516"/>
        </w:trPr>
        <w:tc>
          <w:tcPr>
            <w:tcW w:w="1783" w:type="dxa"/>
          </w:tcPr>
          <w:p w14:paraId="392131D0" w14:textId="77777777" w:rsidR="00E616B6" w:rsidRPr="00A200BC" w:rsidRDefault="00E616B6" w:rsidP="00CD4F5D">
            <w:pPr>
              <w:rPr>
                <w:rFonts w:ascii="Century Gothic" w:hAnsi="Century Gothic"/>
                <w:sz w:val="22"/>
                <w:szCs w:val="22"/>
              </w:rPr>
            </w:pPr>
            <w:r w:rsidRPr="00A200BC">
              <w:rPr>
                <w:rFonts w:ascii="Century Gothic" w:hAnsi="Century Gothic"/>
                <w:sz w:val="22"/>
                <w:szCs w:val="22"/>
              </w:rPr>
              <w:lastRenderedPageBreak/>
              <w:t>Evidencia</w:t>
            </w:r>
          </w:p>
        </w:tc>
        <w:tc>
          <w:tcPr>
            <w:tcW w:w="7045" w:type="dxa"/>
          </w:tcPr>
          <w:p w14:paraId="4980BB79" w14:textId="77777777" w:rsidR="00E616B6" w:rsidRPr="00A200BC" w:rsidRDefault="00E616B6" w:rsidP="00CD4F5D">
            <w:pPr>
              <w:rPr>
                <w:rFonts w:ascii="Century Gothic" w:hAnsi="Century Gothic"/>
                <w:sz w:val="22"/>
                <w:szCs w:val="22"/>
              </w:rPr>
            </w:pPr>
            <w:r w:rsidRPr="00A200BC">
              <w:rPr>
                <w:rFonts w:ascii="Century Gothic" w:hAnsi="Century Gothic" w:cstheme="minorBidi"/>
                <w:noProof/>
                <w:sz w:val="22"/>
                <w:szCs w:val="22"/>
              </w:rPr>
              <w:t>https://drive.google.com/open?id=17nWxE6jfrwnk1oG62jKaMnFDn-lzggCT</w:t>
            </w:r>
          </w:p>
        </w:tc>
      </w:tr>
    </w:tbl>
    <w:p w14:paraId="54FE3833" w14:textId="77777777" w:rsidR="00CA6DF3" w:rsidRPr="00A200BC" w:rsidRDefault="00CA6DF3">
      <w:pPr>
        <w:rPr>
          <w:rFonts w:ascii="Century Gothic" w:hAnsi="Century Gothic"/>
        </w:rPr>
      </w:pPr>
    </w:p>
    <w:sectPr w:rsidR="00CA6DF3" w:rsidRPr="00A200BC" w:rsidSect="00AC4C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B6"/>
    <w:rsid w:val="00054C1E"/>
    <w:rsid w:val="001D7A16"/>
    <w:rsid w:val="00A13E5F"/>
    <w:rsid w:val="00A200BC"/>
    <w:rsid w:val="00AC4CE1"/>
    <w:rsid w:val="00CA6DF3"/>
    <w:rsid w:val="00E250F3"/>
    <w:rsid w:val="00E616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C0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16"/>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1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08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11915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Campos</dc:creator>
  <cp:keywords/>
  <dc:description/>
  <cp:lastModifiedBy>Usuario</cp:lastModifiedBy>
  <cp:revision>3</cp:revision>
  <dcterms:created xsi:type="dcterms:W3CDTF">2017-12-25T22:47:00Z</dcterms:created>
  <dcterms:modified xsi:type="dcterms:W3CDTF">2017-12-25T22:47:00Z</dcterms:modified>
</cp:coreProperties>
</file>