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761" w:rsidRPr="009D2761" w:rsidRDefault="009D2761" w:rsidP="009D2761">
      <w:pPr>
        <w:shd w:val="clear" w:color="auto" w:fill="FFFFFF"/>
        <w:spacing w:after="225" w:line="383" w:lineRule="atLeast"/>
        <w:rPr>
          <w:rFonts w:ascii="inherit" w:eastAsia="Times New Roman" w:hAnsi="inherit" w:cs="Times New Roman"/>
          <w:color w:val="000000"/>
          <w:sz w:val="23"/>
          <w:szCs w:val="23"/>
          <w:lang w:eastAsia="es-CL"/>
        </w:rPr>
      </w:pPr>
      <w:bookmarkStart w:id="0" w:name="_GoBack"/>
      <w:r w:rsidRPr="009D2761">
        <w:rPr>
          <w:rFonts w:ascii="inherit" w:eastAsia="Times New Roman" w:hAnsi="inherit" w:cs="Times New Roman"/>
          <w:color w:val="000000"/>
          <w:sz w:val="23"/>
          <w:szCs w:val="23"/>
          <w:lang w:eastAsia="es-CL"/>
        </w:rPr>
        <w:t>El trabajo debe ceñirse a las bases de las Jornadas y el correo electrónico debe indicar en el asunto "Adjunta trabajo".</w:t>
      </w:r>
    </w:p>
    <w:p w:rsidR="009D2761" w:rsidRPr="009D2761" w:rsidRDefault="009D2761" w:rsidP="009D2761">
      <w:pPr>
        <w:shd w:val="clear" w:color="auto" w:fill="FFFFFF"/>
        <w:spacing w:after="225" w:line="383" w:lineRule="atLeast"/>
        <w:rPr>
          <w:rFonts w:ascii="inherit" w:eastAsia="Times New Roman" w:hAnsi="inherit" w:cs="Times New Roman"/>
          <w:color w:val="000000"/>
          <w:sz w:val="23"/>
          <w:szCs w:val="23"/>
          <w:lang w:eastAsia="es-CL"/>
        </w:rPr>
      </w:pPr>
      <w:r w:rsidRPr="009D2761">
        <w:rPr>
          <w:rFonts w:ascii="inherit" w:eastAsia="Times New Roman" w:hAnsi="inherit" w:cs="Times New Roman"/>
          <w:color w:val="000000"/>
          <w:sz w:val="23"/>
          <w:szCs w:val="23"/>
          <w:lang w:eastAsia="es-CL"/>
        </w:rPr>
        <w:t>El artículo debe estar en condiciones de ser publicado inmediatamente.</w:t>
      </w:r>
    </w:p>
    <w:p w:rsidR="009D2761" w:rsidRPr="009D2761" w:rsidRDefault="009D2761" w:rsidP="009D2761">
      <w:pPr>
        <w:shd w:val="clear" w:color="auto" w:fill="FFFFFF"/>
        <w:spacing w:after="225" w:line="383" w:lineRule="atLeast"/>
        <w:rPr>
          <w:rFonts w:ascii="inherit" w:eastAsia="Times New Roman" w:hAnsi="inherit" w:cs="Times New Roman"/>
          <w:color w:val="000000"/>
          <w:sz w:val="23"/>
          <w:szCs w:val="23"/>
          <w:lang w:eastAsia="es-CL"/>
        </w:rPr>
      </w:pPr>
      <w:r w:rsidRPr="009D2761">
        <w:rPr>
          <w:rFonts w:ascii="inherit" w:eastAsia="Times New Roman" w:hAnsi="inherit" w:cs="Times New Roman"/>
          <w:color w:val="000000"/>
          <w:sz w:val="23"/>
          <w:szCs w:val="23"/>
          <w:lang w:eastAsia="es-CL"/>
        </w:rPr>
        <w:t>La extensión del trabajo será de mínimo 8 y máximo 15 páginas. Los artículos serán arbitrados por profesores representantes de las universidades integrantes del Consorcio Organizador de las Jornadas Chilenas de Derecho Comercial.</w:t>
      </w:r>
    </w:p>
    <w:p w:rsidR="009D2761" w:rsidRPr="009D2761" w:rsidRDefault="009D2761" w:rsidP="009D2761">
      <w:pPr>
        <w:shd w:val="clear" w:color="auto" w:fill="FFFFFF"/>
        <w:spacing w:after="225" w:line="383" w:lineRule="atLeast"/>
        <w:rPr>
          <w:rFonts w:ascii="inherit" w:eastAsia="Times New Roman" w:hAnsi="inherit" w:cs="Times New Roman"/>
          <w:color w:val="000000"/>
          <w:sz w:val="23"/>
          <w:szCs w:val="23"/>
          <w:lang w:eastAsia="es-CL"/>
        </w:rPr>
      </w:pPr>
      <w:r w:rsidRPr="009D2761">
        <w:rPr>
          <w:rFonts w:ascii="inherit" w:eastAsia="Times New Roman" w:hAnsi="inherit" w:cs="Times New Roman"/>
          <w:color w:val="000000"/>
          <w:sz w:val="23"/>
          <w:szCs w:val="23"/>
          <w:lang w:eastAsia="es-CL"/>
        </w:rPr>
        <w:t>Se indica, a continuación, los temas sobre los cuales pueden versar los trabajos:</w:t>
      </w:r>
    </w:p>
    <w:p w:rsidR="009D2761" w:rsidRPr="009D2761" w:rsidRDefault="009D2761" w:rsidP="009D2761">
      <w:pPr>
        <w:numPr>
          <w:ilvl w:val="0"/>
          <w:numId w:val="1"/>
        </w:numPr>
        <w:shd w:val="clear" w:color="auto" w:fill="FFFFFF"/>
        <w:ind w:left="750" w:right="75"/>
        <w:rPr>
          <w:rFonts w:ascii="inherit" w:eastAsia="Times New Roman" w:hAnsi="inherit" w:cs="Times New Roman"/>
          <w:color w:val="000000"/>
          <w:sz w:val="23"/>
          <w:szCs w:val="23"/>
          <w:lang w:eastAsia="es-CL"/>
        </w:rPr>
      </w:pPr>
      <w:r w:rsidRPr="009D2761">
        <w:rPr>
          <w:rFonts w:ascii="inherit" w:eastAsia="Times New Roman" w:hAnsi="inherit" w:cs="Times New Roman"/>
          <w:color w:val="000000"/>
          <w:sz w:val="23"/>
          <w:szCs w:val="23"/>
          <w:lang w:eastAsia="es-CL"/>
        </w:rPr>
        <w:t>Teoría del Derecho Comercial: principios; bases conceptuales; unificación del Derecho de las obligaciones civiles y mercantiles; etc.</w:t>
      </w:r>
    </w:p>
    <w:p w:rsidR="009D2761" w:rsidRPr="009D2761" w:rsidRDefault="009D2761" w:rsidP="009D2761">
      <w:pPr>
        <w:numPr>
          <w:ilvl w:val="0"/>
          <w:numId w:val="1"/>
        </w:numPr>
        <w:shd w:val="clear" w:color="auto" w:fill="FFFFFF"/>
        <w:ind w:left="750" w:right="75"/>
        <w:rPr>
          <w:rFonts w:ascii="inherit" w:eastAsia="Times New Roman" w:hAnsi="inherit" w:cs="Times New Roman"/>
          <w:color w:val="000000"/>
          <w:sz w:val="23"/>
          <w:szCs w:val="23"/>
          <w:lang w:eastAsia="es-CL"/>
        </w:rPr>
      </w:pPr>
      <w:r w:rsidRPr="009D2761">
        <w:rPr>
          <w:rFonts w:ascii="inherit" w:eastAsia="Times New Roman" w:hAnsi="inherit" w:cs="Times New Roman"/>
          <w:color w:val="000000"/>
          <w:sz w:val="23"/>
          <w:szCs w:val="23"/>
          <w:lang w:eastAsia="es-CL"/>
        </w:rPr>
        <w:t>Derecho de Sociedades y Gobiernos Corporativos;</w:t>
      </w:r>
    </w:p>
    <w:p w:rsidR="009D2761" w:rsidRPr="009D2761" w:rsidRDefault="009D2761" w:rsidP="009D2761">
      <w:pPr>
        <w:numPr>
          <w:ilvl w:val="0"/>
          <w:numId w:val="1"/>
        </w:numPr>
        <w:shd w:val="clear" w:color="auto" w:fill="FFFFFF"/>
        <w:ind w:left="750" w:right="75"/>
        <w:rPr>
          <w:rFonts w:ascii="inherit" w:eastAsia="Times New Roman" w:hAnsi="inherit" w:cs="Times New Roman"/>
          <w:color w:val="000000"/>
          <w:sz w:val="23"/>
          <w:szCs w:val="23"/>
          <w:lang w:eastAsia="es-CL"/>
        </w:rPr>
      </w:pPr>
      <w:r w:rsidRPr="009D2761">
        <w:rPr>
          <w:rFonts w:ascii="inherit" w:eastAsia="Times New Roman" w:hAnsi="inherit" w:cs="Times New Roman"/>
          <w:color w:val="000000"/>
          <w:sz w:val="23"/>
          <w:szCs w:val="23"/>
          <w:lang w:eastAsia="es-CL"/>
        </w:rPr>
        <w:t>Contratación mercantil;</w:t>
      </w:r>
    </w:p>
    <w:p w:rsidR="009D2761" w:rsidRPr="009D2761" w:rsidRDefault="009D2761" w:rsidP="009D2761">
      <w:pPr>
        <w:numPr>
          <w:ilvl w:val="0"/>
          <w:numId w:val="1"/>
        </w:numPr>
        <w:shd w:val="clear" w:color="auto" w:fill="FFFFFF"/>
        <w:ind w:left="750" w:right="75"/>
        <w:rPr>
          <w:rFonts w:ascii="inherit" w:eastAsia="Times New Roman" w:hAnsi="inherit" w:cs="Times New Roman"/>
          <w:color w:val="000000"/>
          <w:sz w:val="23"/>
          <w:szCs w:val="23"/>
          <w:lang w:eastAsia="es-CL"/>
        </w:rPr>
      </w:pPr>
      <w:r w:rsidRPr="009D2761">
        <w:rPr>
          <w:rFonts w:ascii="inherit" w:eastAsia="Times New Roman" w:hAnsi="inherit" w:cs="Times New Roman"/>
          <w:color w:val="000000"/>
          <w:sz w:val="23"/>
          <w:szCs w:val="23"/>
          <w:lang w:eastAsia="es-CL"/>
        </w:rPr>
        <w:t>Títulos valores;</w:t>
      </w:r>
    </w:p>
    <w:p w:rsidR="009D2761" w:rsidRPr="009D2761" w:rsidRDefault="009D2761" w:rsidP="009D2761">
      <w:pPr>
        <w:numPr>
          <w:ilvl w:val="0"/>
          <w:numId w:val="1"/>
        </w:numPr>
        <w:shd w:val="clear" w:color="auto" w:fill="FFFFFF"/>
        <w:ind w:left="750" w:right="75"/>
        <w:rPr>
          <w:rFonts w:ascii="inherit" w:eastAsia="Times New Roman" w:hAnsi="inherit" w:cs="Times New Roman"/>
          <w:color w:val="000000"/>
          <w:sz w:val="23"/>
          <w:szCs w:val="23"/>
          <w:lang w:eastAsia="es-CL"/>
        </w:rPr>
      </w:pPr>
      <w:r w:rsidRPr="009D2761">
        <w:rPr>
          <w:rFonts w:ascii="inherit" w:eastAsia="Times New Roman" w:hAnsi="inherit" w:cs="Times New Roman"/>
          <w:color w:val="000000"/>
          <w:sz w:val="23"/>
          <w:szCs w:val="23"/>
          <w:lang w:eastAsia="es-CL"/>
        </w:rPr>
        <w:t>Derecho Concursal;</w:t>
      </w:r>
    </w:p>
    <w:p w:rsidR="009D2761" w:rsidRPr="009D2761" w:rsidRDefault="009D2761" w:rsidP="009D2761">
      <w:pPr>
        <w:numPr>
          <w:ilvl w:val="0"/>
          <w:numId w:val="1"/>
        </w:numPr>
        <w:shd w:val="clear" w:color="auto" w:fill="FFFFFF"/>
        <w:ind w:left="750" w:right="75"/>
        <w:rPr>
          <w:rFonts w:ascii="inherit" w:eastAsia="Times New Roman" w:hAnsi="inherit" w:cs="Times New Roman"/>
          <w:color w:val="000000"/>
          <w:sz w:val="23"/>
          <w:szCs w:val="23"/>
          <w:lang w:eastAsia="es-CL"/>
        </w:rPr>
      </w:pPr>
      <w:r w:rsidRPr="009D2761">
        <w:rPr>
          <w:rFonts w:ascii="inherit" w:eastAsia="Times New Roman" w:hAnsi="inherit" w:cs="Times New Roman"/>
          <w:color w:val="000000"/>
          <w:sz w:val="23"/>
          <w:szCs w:val="23"/>
          <w:lang w:eastAsia="es-CL"/>
        </w:rPr>
        <w:t>Seguros;</w:t>
      </w:r>
    </w:p>
    <w:p w:rsidR="009D2761" w:rsidRPr="009D2761" w:rsidRDefault="009D2761" w:rsidP="009D2761">
      <w:pPr>
        <w:numPr>
          <w:ilvl w:val="1"/>
          <w:numId w:val="1"/>
        </w:numPr>
        <w:shd w:val="clear" w:color="auto" w:fill="FFFFFF"/>
        <w:ind w:left="1500" w:right="150"/>
        <w:rPr>
          <w:rFonts w:ascii="inherit" w:eastAsia="Times New Roman" w:hAnsi="inherit" w:cs="Times New Roman"/>
          <w:color w:val="000000"/>
          <w:sz w:val="23"/>
          <w:szCs w:val="23"/>
          <w:lang w:eastAsia="es-CL"/>
        </w:rPr>
      </w:pPr>
      <w:r w:rsidRPr="009D2761">
        <w:rPr>
          <w:rFonts w:ascii="inherit" w:eastAsia="Times New Roman" w:hAnsi="inherit" w:cs="Times New Roman"/>
          <w:color w:val="000000"/>
          <w:sz w:val="23"/>
          <w:szCs w:val="23"/>
          <w:lang w:eastAsia="es-CL"/>
        </w:rPr>
        <w:t>Mecanismos alternativos de solución de controversias (arbitraje societario, mediación comercial, etc.);</w:t>
      </w:r>
    </w:p>
    <w:p w:rsidR="009D2761" w:rsidRPr="009D2761" w:rsidRDefault="009D2761" w:rsidP="009D2761">
      <w:pPr>
        <w:numPr>
          <w:ilvl w:val="1"/>
          <w:numId w:val="1"/>
        </w:numPr>
        <w:shd w:val="clear" w:color="auto" w:fill="FFFFFF"/>
        <w:ind w:left="1500" w:right="150"/>
        <w:rPr>
          <w:rFonts w:ascii="inherit" w:eastAsia="Times New Roman" w:hAnsi="inherit" w:cs="Times New Roman"/>
          <w:color w:val="000000"/>
          <w:sz w:val="23"/>
          <w:szCs w:val="23"/>
          <w:lang w:eastAsia="es-CL"/>
        </w:rPr>
      </w:pPr>
      <w:r w:rsidRPr="009D2761">
        <w:rPr>
          <w:rFonts w:ascii="inherit" w:eastAsia="Times New Roman" w:hAnsi="inherit" w:cs="Times New Roman"/>
          <w:color w:val="000000"/>
          <w:sz w:val="23"/>
          <w:szCs w:val="23"/>
          <w:lang w:eastAsia="es-CL"/>
        </w:rPr>
        <w:t>Propiedad industrial (marcas, nombres de dominio, etc.);</w:t>
      </w:r>
    </w:p>
    <w:p w:rsidR="009D2761" w:rsidRPr="009D2761" w:rsidRDefault="009D2761" w:rsidP="009D2761">
      <w:pPr>
        <w:numPr>
          <w:ilvl w:val="1"/>
          <w:numId w:val="1"/>
        </w:numPr>
        <w:shd w:val="clear" w:color="auto" w:fill="FFFFFF"/>
        <w:ind w:left="1500" w:right="150"/>
        <w:rPr>
          <w:rFonts w:ascii="inherit" w:eastAsia="Times New Roman" w:hAnsi="inherit" w:cs="Times New Roman"/>
          <w:color w:val="000000"/>
          <w:sz w:val="23"/>
          <w:szCs w:val="23"/>
          <w:lang w:eastAsia="es-CL"/>
        </w:rPr>
      </w:pPr>
      <w:r w:rsidRPr="009D2761">
        <w:rPr>
          <w:rFonts w:ascii="inherit" w:eastAsia="Times New Roman" w:hAnsi="inherit" w:cs="Times New Roman"/>
          <w:color w:val="000000"/>
          <w:sz w:val="23"/>
          <w:szCs w:val="23"/>
          <w:lang w:eastAsia="es-CL"/>
        </w:rPr>
        <w:t>Contratación electrónica, contratación comercial internacional;</w:t>
      </w:r>
    </w:p>
    <w:p w:rsidR="009D2761" w:rsidRPr="009D2761" w:rsidRDefault="009D2761" w:rsidP="009D2761">
      <w:pPr>
        <w:numPr>
          <w:ilvl w:val="1"/>
          <w:numId w:val="1"/>
        </w:numPr>
        <w:shd w:val="clear" w:color="auto" w:fill="FFFFFF"/>
        <w:ind w:left="1500" w:right="150"/>
        <w:rPr>
          <w:rFonts w:ascii="inherit" w:eastAsia="Times New Roman" w:hAnsi="inherit" w:cs="Times New Roman"/>
          <w:color w:val="000000"/>
          <w:sz w:val="23"/>
          <w:szCs w:val="23"/>
          <w:lang w:eastAsia="es-CL"/>
        </w:rPr>
      </w:pPr>
      <w:r w:rsidRPr="009D2761">
        <w:rPr>
          <w:rFonts w:ascii="inherit" w:eastAsia="Times New Roman" w:hAnsi="inherit" w:cs="Times New Roman"/>
          <w:color w:val="000000"/>
          <w:sz w:val="23"/>
          <w:szCs w:val="23"/>
          <w:lang w:eastAsia="es-CL"/>
        </w:rPr>
        <w:t>Derecho de la Competencia;</w:t>
      </w:r>
    </w:p>
    <w:p w:rsidR="009D2761" w:rsidRPr="009D2761" w:rsidRDefault="009D2761" w:rsidP="009D2761">
      <w:pPr>
        <w:numPr>
          <w:ilvl w:val="1"/>
          <w:numId w:val="1"/>
        </w:numPr>
        <w:shd w:val="clear" w:color="auto" w:fill="FFFFFF"/>
        <w:ind w:left="1500" w:right="150"/>
        <w:rPr>
          <w:rFonts w:ascii="inherit" w:eastAsia="Times New Roman" w:hAnsi="inherit" w:cs="Times New Roman"/>
          <w:color w:val="000000"/>
          <w:sz w:val="23"/>
          <w:szCs w:val="23"/>
          <w:lang w:eastAsia="es-CL"/>
        </w:rPr>
      </w:pPr>
      <w:r w:rsidRPr="009D2761">
        <w:rPr>
          <w:rFonts w:ascii="inherit" w:eastAsia="Times New Roman" w:hAnsi="inherit" w:cs="Times New Roman"/>
          <w:color w:val="000000"/>
          <w:sz w:val="23"/>
          <w:szCs w:val="23"/>
          <w:lang w:eastAsia="es-CL"/>
        </w:rPr>
        <w:t>Derecho Marítimo; y</w:t>
      </w:r>
    </w:p>
    <w:p w:rsidR="009D2761" w:rsidRPr="009D2761" w:rsidRDefault="009D2761" w:rsidP="009D2761">
      <w:pPr>
        <w:numPr>
          <w:ilvl w:val="1"/>
          <w:numId w:val="1"/>
        </w:numPr>
        <w:shd w:val="clear" w:color="auto" w:fill="FFFFFF"/>
        <w:ind w:left="1500" w:right="150"/>
        <w:rPr>
          <w:rFonts w:ascii="inherit" w:eastAsia="Times New Roman" w:hAnsi="inherit" w:cs="Times New Roman"/>
          <w:color w:val="000000"/>
          <w:sz w:val="23"/>
          <w:szCs w:val="23"/>
          <w:lang w:eastAsia="es-CL"/>
        </w:rPr>
      </w:pPr>
      <w:r w:rsidRPr="009D2761">
        <w:rPr>
          <w:rFonts w:ascii="inherit" w:eastAsia="Times New Roman" w:hAnsi="inherit" w:cs="Times New Roman"/>
          <w:color w:val="000000"/>
          <w:sz w:val="23"/>
          <w:szCs w:val="23"/>
          <w:lang w:eastAsia="es-CL"/>
        </w:rPr>
        <w:t>Transporte terrestre y aéreo.</w:t>
      </w:r>
    </w:p>
    <w:p w:rsidR="009D2761" w:rsidRPr="009D2761" w:rsidRDefault="009D2761" w:rsidP="009D2761">
      <w:pPr>
        <w:shd w:val="clear" w:color="auto" w:fill="FFFFFF"/>
        <w:spacing w:after="225" w:line="383" w:lineRule="atLeast"/>
        <w:rPr>
          <w:rFonts w:ascii="inherit" w:eastAsia="Times New Roman" w:hAnsi="inherit" w:cs="Times New Roman"/>
          <w:color w:val="000000"/>
          <w:sz w:val="23"/>
          <w:szCs w:val="23"/>
          <w:lang w:eastAsia="es-CL"/>
        </w:rPr>
      </w:pPr>
      <w:r w:rsidRPr="009D2761">
        <w:rPr>
          <w:rFonts w:ascii="inherit" w:eastAsia="Times New Roman" w:hAnsi="inherit" w:cs="Times New Roman"/>
          <w:color w:val="000000"/>
          <w:sz w:val="23"/>
          <w:szCs w:val="23"/>
          <w:lang w:eastAsia="es-CL"/>
        </w:rPr>
        <w:t> </w:t>
      </w:r>
    </w:p>
    <w:p w:rsidR="009D2761" w:rsidRPr="009D2761" w:rsidRDefault="009D2761" w:rsidP="009D2761">
      <w:pPr>
        <w:shd w:val="clear" w:color="auto" w:fill="FFFFFF"/>
        <w:spacing w:line="383" w:lineRule="atLeast"/>
        <w:rPr>
          <w:rFonts w:ascii="inherit" w:eastAsia="Times New Roman" w:hAnsi="inherit" w:cs="Times New Roman"/>
          <w:color w:val="000000"/>
          <w:sz w:val="23"/>
          <w:szCs w:val="23"/>
          <w:lang w:eastAsia="es-CL"/>
        </w:rPr>
      </w:pPr>
      <w:r w:rsidRPr="009D2761">
        <w:rPr>
          <w:rFonts w:ascii="inherit" w:eastAsia="Times New Roman" w:hAnsi="inherit" w:cs="Times New Roman"/>
          <w:b/>
          <w:bCs/>
          <w:color w:val="000000"/>
          <w:sz w:val="23"/>
          <w:szCs w:val="23"/>
          <w:bdr w:val="none" w:sz="0" w:space="0" w:color="auto" w:frame="1"/>
          <w:lang w:eastAsia="es-CL"/>
        </w:rPr>
        <w:t>Cronograma</w:t>
      </w:r>
      <w:r w:rsidRPr="009D2761">
        <w:rPr>
          <w:rFonts w:ascii="inherit" w:eastAsia="Times New Roman" w:hAnsi="inherit" w:cs="Times New Roman"/>
          <w:color w:val="000000"/>
          <w:sz w:val="23"/>
          <w:szCs w:val="23"/>
          <w:lang w:eastAsia="es-CL"/>
        </w:rPr>
        <w:t>:</w:t>
      </w:r>
    </w:p>
    <w:p w:rsidR="009D2761" w:rsidRPr="009D2761" w:rsidRDefault="009D2761" w:rsidP="009D2761">
      <w:pPr>
        <w:shd w:val="clear" w:color="auto" w:fill="FFFFFF"/>
        <w:spacing w:after="225" w:line="383" w:lineRule="atLeast"/>
        <w:rPr>
          <w:rFonts w:ascii="inherit" w:eastAsia="Times New Roman" w:hAnsi="inherit" w:cs="Times New Roman"/>
          <w:color w:val="000000"/>
          <w:sz w:val="23"/>
          <w:szCs w:val="23"/>
          <w:lang w:eastAsia="es-CL"/>
        </w:rPr>
      </w:pPr>
      <w:r w:rsidRPr="009D2761">
        <w:rPr>
          <w:rFonts w:ascii="inherit" w:eastAsia="Times New Roman" w:hAnsi="inherit" w:cs="Times New Roman"/>
          <w:color w:val="000000"/>
          <w:sz w:val="23"/>
          <w:szCs w:val="23"/>
          <w:lang w:eastAsia="es-CL"/>
        </w:rPr>
        <w:t>Apertura de la convocatoria: 1° de abril de 2017</w:t>
      </w:r>
    </w:p>
    <w:p w:rsidR="009D2761" w:rsidRPr="009D2761" w:rsidRDefault="009D2761" w:rsidP="009D2761">
      <w:pPr>
        <w:shd w:val="clear" w:color="auto" w:fill="FFFFFF"/>
        <w:spacing w:after="225" w:line="383" w:lineRule="atLeast"/>
        <w:rPr>
          <w:rFonts w:ascii="inherit" w:eastAsia="Times New Roman" w:hAnsi="inherit" w:cs="Times New Roman"/>
          <w:color w:val="000000"/>
          <w:sz w:val="23"/>
          <w:szCs w:val="23"/>
          <w:lang w:eastAsia="es-CL"/>
        </w:rPr>
      </w:pPr>
      <w:r w:rsidRPr="009D2761">
        <w:rPr>
          <w:rFonts w:ascii="inherit" w:eastAsia="Times New Roman" w:hAnsi="inherit" w:cs="Times New Roman"/>
          <w:color w:val="000000"/>
          <w:sz w:val="23"/>
          <w:szCs w:val="23"/>
          <w:lang w:eastAsia="es-CL"/>
        </w:rPr>
        <w:t>Recepción de trabajos: desde el 1° de abril hasta el 10 de julio de 2017</w:t>
      </w:r>
    </w:p>
    <w:p w:rsidR="009D2761" w:rsidRPr="009D2761" w:rsidRDefault="009D2761" w:rsidP="009D2761">
      <w:pPr>
        <w:shd w:val="clear" w:color="auto" w:fill="FFFFFF"/>
        <w:spacing w:after="225" w:line="383" w:lineRule="atLeast"/>
        <w:rPr>
          <w:rFonts w:ascii="inherit" w:eastAsia="Times New Roman" w:hAnsi="inherit" w:cs="Times New Roman"/>
          <w:color w:val="000000"/>
          <w:sz w:val="23"/>
          <w:szCs w:val="23"/>
          <w:lang w:eastAsia="es-CL"/>
        </w:rPr>
      </w:pPr>
      <w:r w:rsidRPr="009D2761">
        <w:rPr>
          <w:rFonts w:ascii="inherit" w:eastAsia="Times New Roman" w:hAnsi="inherit" w:cs="Times New Roman"/>
          <w:color w:val="000000"/>
          <w:sz w:val="23"/>
          <w:szCs w:val="23"/>
          <w:lang w:eastAsia="es-CL"/>
        </w:rPr>
        <w:t>Notificación de aceptación: entre el 10 y el 20 de agosto de 2017</w:t>
      </w:r>
    </w:p>
    <w:p w:rsidR="009D2761" w:rsidRPr="009D2761" w:rsidRDefault="009D2761" w:rsidP="009D2761">
      <w:pPr>
        <w:shd w:val="clear" w:color="auto" w:fill="FFFFFF"/>
        <w:spacing w:after="225" w:line="383" w:lineRule="atLeast"/>
        <w:rPr>
          <w:rFonts w:ascii="inherit" w:eastAsia="Times New Roman" w:hAnsi="inherit" w:cs="Times New Roman"/>
          <w:color w:val="000000"/>
          <w:sz w:val="23"/>
          <w:szCs w:val="23"/>
          <w:lang w:eastAsia="es-CL"/>
        </w:rPr>
      </w:pPr>
      <w:r w:rsidRPr="009D2761">
        <w:rPr>
          <w:rFonts w:ascii="inherit" w:eastAsia="Times New Roman" w:hAnsi="inherit" w:cs="Times New Roman"/>
          <w:color w:val="000000"/>
          <w:sz w:val="23"/>
          <w:szCs w:val="23"/>
          <w:lang w:eastAsia="es-CL"/>
        </w:rPr>
        <w:t>Cierre de inscripción para asistentes: lunes 4 de septiembre de 2017</w:t>
      </w:r>
    </w:p>
    <w:p w:rsidR="009D2761" w:rsidRPr="009D2761" w:rsidRDefault="009D2761" w:rsidP="009D2761">
      <w:pPr>
        <w:shd w:val="clear" w:color="auto" w:fill="FFFFFF"/>
        <w:spacing w:line="383" w:lineRule="atLeast"/>
        <w:rPr>
          <w:rFonts w:ascii="inherit" w:eastAsia="Times New Roman" w:hAnsi="inherit" w:cs="Times New Roman"/>
          <w:color w:val="000000"/>
          <w:sz w:val="23"/>
          <w:szCs w:val="23"/>
          <w:lang w:eastAsia="es-CL"/>
        </w:rPr>
      </w:pPr>
      <w:r w:rsidRPr="009D2761">
        <w:rPr>
          <w:rFonts w:ascii="inherit" w:eastAsia="Times New Roman" w:hAnsi="inherit" w:cs="Times New Roman"/>
          <w:color w:val="000000"/>
          <w:sz w:val="23"/>
          <w:szCs w:val="23"/>
          <w:lang w:eastAsia="es-CL"/>
        </w:rPr>
        <w:t>Realización de las Jornadas: </w:t>
      </w:r>
      <w:r w:rsidRPr="009D2761">
        <w:rPr>
          <w:rFonts w:ascii="inherit" w:eastAsia="Times New Roman" w:hAnsi="inherit" w:cs="Times New Roman"/>
          <w:b/>
          <w:bCs/>
          <w:color w:val="000000"/>
          <w:sz w:val="23"/>
          <w:szCs w:val="23"/>
          <w:bdr w:val="none" w:sz="0" w:space="0" w:color="auto" w:frame="1"/>
          <w:lang w:eastAsia="es-CL"/>
        </w:rPr>
        <w:t>jueves 7 y</w:t>
      </w:r>
      <w:r w:rsidRPr="009D2761">
        <w:rPr>
          <w:rFonts w:ascii="inherit" w:eastAsia="Times New Roman" w:hAnsi="inherit" w:cs="Times New Roman"/>
          <w:color w:val="000000"/>
          <w:sz w:val="23"/>
          <w:szCs w:val="23"/>
          <w:lang w:eastAsia="es-CL"/>
        </w:rPr>
        <w:t> </w:t>
      </w:r>
      <w:r w:rsidRPr="009D2761">
        <w:rPr>
          <w:rFonts w:ascii="inherit" w:eastAsia="Times New Roman" w:hAnsi="inherit" w:cs="Times New Roman"/>
          <w:b/>
          <w:bCs/>
          <w:color w:val="000000"/>
          <w:sz w:val="23"/>
          <w:szCs w:val="23"/>
          <w:bdr w:val="none" w:sz="0" w:space="0" w:color="auto" w:frame="1"/>
          <w:lang w:eastAsia="es-CL"/>
        </w:rPr>
        <w:t>viernes 8 de septiembre</w:t>
      </w:r>
      <w:r w:rsidRPr="009D2761">
        <w:rPr>
          <w:rFonts w:ascii="inherit" w:eastAsia="Times New Roman" w:hAnsi="inherit" w:cs="Times New Roman"/>
          <w:color w:val="000000"/>
          <w:sz w:val="23"/>
          <w:szCs w:val="23"/>
          <w:lang w:eastAsia="es-CL"/>
        </w:rPr>
        <w:t> de 2017</w:t>
      </w:r>
    </w:p>
    <w:p w:rsidR="009D2761" w:rsidRPr="009D2761" w:rsidRDefault="009D2761" w:rsidP="009D2761">
      <w:pPr>
        <w:shd w:val="clear" w:color="auto" w:fill="FFFFFF"/>
        <w:spacing w:after="225" w:line="383" w:lineRule="atLeast"/>
        <w:rPr>
          <w:rFonts w:ascii="inherit" w:eastAsia="Times New Roman" w:hAnsi="inherit" w:cs="Times New Roman"/>
          <w:color w:val="000000"/>
          <w:sz w:val="23"/>
          <w:szCs w:val="23"/>
          <w:lang w:eastAsia="es-CL"/>
        </w:rPr>
      </w:pPr>
      <w:r w:rsidRPr="009D2761">
        <w:rPr>
          <w:rFonts w:ascii="inherit" w:eastAsia="Times New Roman" w:hAnsi="inherit" w:cs="Times New Roman"/>
          <w:color w:val="000000"/>
          <w:sz w:val="23"/>
          <w:szCs w:val="23"/>
          <w:lang w:eastAsia="es-CL"/>
        </w:rPr>
        <w:t> </w:t>
      </w:r>
    </w:p>
    <w:p w:rsidR="009D2761" w:rsidRPr="009D2761" w:rsidRDefault="009D2761" w:rsidP="009D2761">
      <w:pPr>
        <w:shd w:val="clear" w:color="auto" w:fill="FFFFFF"/>
        <w:spacing w:line="383" w:lineRule="atLeast"/>
        <w:rPr>
          <w:rFonts w:ascii="inherit" w:eastAsia="Times New Roman" w:hAnsi="inherit" w:cs="Times New Roman"/>
          <w:color w:val="000000"/>
          <w:sz w:val="23"/>
          <w:szCs w:val="23"/>
          <w:lang w:eastAsia="es-CL"/>
        </w:rPr>
      </w:pPr>
      <w:r w:rsidRPr="009D2761">
        <w:rPr>
          <w:rFonts w:ascii="inherit" w:eastAsia="Times New Roman" w:hAnsi="inherit" w:cs="Times New Roman"/>
          <w:b/>
          <w:bCs/>
          <w:color w:val="000000"/>
          <w:sz w:val="23"/>
          <w:szCs w:val="23"/>
          <w:bdr w:val="none" w:sz="0" w:space="0" w:color="auto" w:frame="1"/>
          <w:lang w:eastAsia="es-CL"/>
        </w:rPr>
        <w:t>Reglas generales para las ponencias</w:t>
      </w:r>
      <w:r w:rsidRPr="009D2761">
        <w:rPr>
          <w:rFonts w:ascii="inherit" w:eastAsia="Times New Roman" w:hAnsi="inherit" w:cs="Times New Roman"/>
          <w:color w:val="000000"/>
          <w:sz w:val="23"/>
          <w:szCs w:val="23"/>
          <w:lang w:eastAsia="es-CL"/>
        </w:rPr>
        <w:t>:</w:t>
      </w:r>
    </w:p>
    <w:p w:rsidR="009D2761" w:rsidRPr="009D2761" w:rsidRDefault="009D2761" w:rsidP="009D2761">
      <w:pPr>
        <w:shd w:val="clear" w:color="auto" w:fill="FFFFFF"/>
        <w:spacing w:after="225" w:line="383" w:lineRule="atLeast"/>
        <w:rPr>
          <w:rFonts w:ascii="inherit" w:eastAsia="Times New Roman" w:hAnsi="inherit" w:cs="Times New Roman"/>
          <w:color w:val="000000"/>
          <w:sz w:val="23"/>
          <w:szCs w:val="23"/>
          <w:lang w:eastAsia="es-CL"/>
        </w:rPr>
      </w:pPr>
      <w:r w:rsidRPr="009D2761">
        <w:rPr>
          <w:rFonts w:ascii="inherit" w:eastAsia="Times New Roman" w:hAnsi="inherit" w:cs="Times New Roman"/>
          <w:color w:val="000000"/>
          <w:sz w:val="23"/>
          <w:szCs w:val="23"/>
          <w:lang w:eastAsia="es-CL"/>
        </w:rPr>
        <w:t>Los trabajos deben presentarse conforme a las normas de redacción de la Revista de Derecho de la Pontificia Universidad Católica de Valparaíso (RDPUCV), es decir:</w:t>
      </w:r>
    </w:p>
    <w:p w:rsidR="009D2761" w:rsidRPr="009D2761" w:rsidRDefault="009D2761" w:rsidP="009D2761">
      <w:pPr>
        <w:numPr>
          <w:ilvl w:val="0"/>
          <w:numId w:val="2"/>
        </w:numPr>
        <w:shd w:val="clear" w:color="auto" w:fill="FFFFFF"/>
        <w:ind w:left="750" w:right="75"/>
        <w:rPr>
          <w:rFonts w:ascii="inherit" w:eastAsia="Times New Roman" w:hAnsi="inherit" w:cs="Times New Roman"/>
          <w:color w:val="000000"/>
          <w:sz w:val="23"/>
          <w:szCs w:val="23"/>
          <w:lang w:eastAsia="es-CL"/>
        </w:rPr>
      </w:pPr>
      <w:r w:rsidRPr="009D2761">
        <w:rPr>
          <w:rFonts w:ascii="inherit" w:eastAsia="Times New Roman" w:hAnsi="inherit" w:cs="Times New Roman"/>
          <w:color w:val="000000"/>
          <w:sz w:val="23"/>
          <w:szCs w:val="23"/>
          <w:lang w:eastAsia="es-CL"/>
        </w:rPr>
        <w:lastRenderedPageBreak/>
        <w:t>Serán digitados a interlineado simple, sin sangría, subrayado o negrilla, sin espacios entre párrafo y párrafo (o sea, después de punto aparte), con notas a pie de página, todo en tipografía Garamond, tamaño 12 para el texto y 10 para las notas.</w:t>
      </w:r>
    </w:p>
    <w:p w:rsidR="009D2761" w:rsidRPr="009D2761" w:rsidRDefault="009D2761" w:rsidP="009D2761">
      <w:pPr>
        <w:numPr>
          <w:ilvl w:val="0"/>
          <w:numId w:val="2"/>
        </w:numPr>
        <w:shd w:val="clear" w:color="auto" w:fill="FFFFFF"/>
        <w:ind w:left="750" w:right="75"/>
        <w:rPr>
          <w:rFonts w:ascii="inherit" w:eastAsia="Times New Roman" w:hAnsi="inherit" w:cs="Times New Roman"/>
          <w:color w:val="000000"/>
          <w:sz w:val="23"/>
          <w:szCs w:val="23"/>
          <w:lang w:eastAsia="es-CL"/>
        </w:rPr>
      </w:pPr>
      <w:r w:rsidRPr="009D2761">
        <w:rPr>
          <w:rFonts w:ascii="inherit" w:eastAsia="Times New Roman" w:hAnsi="inherit" w:cs="Times New Roman"/>
          <w:color w:val="000000"/>
          <w:sz w:val="23"/>
          <w:szCs w:val="23"/>
          <w:lang w:eastAsia="es-CL"/>
        </w:rPr>
        <w:t>Tendrán una extensión sugerida no superior a </w:t>
      </w:r>
      <w:r w:rsidRPr="009D2761">
        <w:rPr>
          <w:rFonts w:ascii="inherit" w:eastAsia="Times New Roman" w:hAnsi="inherit" w:cs="Times New Roman"/>
          <w:b/>
          <w:bCs/>
          <w:color w:val="000000"/>
          <w:sz w:val="23"/>
          <w:szCs w:val="23"/>
          <w:bdr w:val="none" w:sz="0" w:space="0" w:color="auto" w:frame="1"/>
          <w:lang w:eastAsia="es-CL"/>
        </w:rPr>
        <w:t>15 páginas.</w:t>
      </w:r>
    </w:p>
    <w:p w:rsidR="009D2761" w:rsidRPr="009D2761" w:rsidRDefault="009D2761" w:rsidP="009D2761">
      <w:pPr>
        <w:numPr>
          <w:ilvl w:val="0"/>
          <w:numId w:val="2"/>
        </w:numPr>
        <w:shd w:val="clear" w:color="auto" w:fill="FFFFFF"/>
        <w:ind w:left="750" w:right="75"/>
        <w:rPr>
          <w:rFonts w:ascii="inherit" w:eastAsia="Times New Roman" w:hAnsi="inherit" w:cs="Times New Roman"/>
          <w:color w:val="000000"/>
          <w:sz w:val="23"/>
          <w:szCs w:val="23"/>
          <w:lang w:eastAsia="es-CL"/>
        </w:rPr>
      </w:pPr>
      <w:r w:rsidRPr="009D2761">
        <w:rPr>
          <w:rFonts w:ascii="inherit" w:eastAsia="Times New Roman" w:hAnsi="inherit" w:cs="Times New Roman"/>
          <w:color w:val="000000"/>
          <w:sz w:val="23"/>
          <w:szCs w:val="23"/>
          <w:lang w:eastAsia="es-CL"/>
        </w:rPr>
        <w:t>Se tenderá a dividir los artículos en secciones numeradas con romanos con rúbrica centradas y separadas del cuerpo de su discurso (I. II. III., etcétera). Éste podrá ser nuevamente subdividido en parágrafos señalados con números arábigos, seguidos de punto [l. 2. 3., etcétera], con o sin rúbricas. Si las llevan, ellas no irán centradas y se escribirán en cursivas. Cuando se apliquen nuevas subdivisiones en el interior de los parágrafos, cada una de ellas será señalada mediante letras con paréntesis sólo final [a) b) c), etcétera]. Por ningún motivo se recurrirá al método de numeración del tipo: 1.1.1 1.1.2 1.1.3, etcétera. Para enumeraciones en el interior del discurso, se usarán números romanos minúsculos seguidos de paréntesis sólo final [i) ii) iii), etcétera]. Se recomienda no subdividir excesivamente el trabajo, y se considera normal y aceptable una división de tres niveles.</w:t>
      </w:r>
    </w:p>
    <w:p w:rsidR="009D2761" w:rsidRPr="009D2761" w:rsidRDefault="009D2761" w:rsidP="009D2761">
      <w:pPr>
        <w:numPr>
          <w:ilvl w:val="0"/>
          <w:numId w:val="2"/>
        </w:numPr>
        <w:shd w:val="clear" w:color="auto" w:fill="FFFFFF"/>
        <w:ind w:left="750" w:right="75"/>
        <w:rPr>
          <w:rFonts w:ascii="inherit" w:eastAsia="Times New Roman" w:hAnsi="inherit" w:cs="Times New Roman"/>
          <w:color w:val="000000"/>
          <w:sz w:val="23"/>
          <w:szCs w:val="23"/>
          <w:lang w:eastAsia="es-CL"/>
        </w:rPr>
      </w:pPr>
      <w:r w:rsidRPr="009D2761">
        <w:rPr>
          <w:rFonts w:ascii="inherit" w:eastAsia="Times New Roman" w:hAnsi="inherit" w:cs="Times New Roman"/>
          <w:color w:val="000000"/>
          <w:sz w:val="23"/>
          <w:szCs w:val="23"/>
          <w:lang w:eastAsia="es-CL"/>
        </w:rPr>
        <w:t>El texto de todo artículo deberá presentar al final, bajo la rúbrica de "bibliografía", una lista alfabética de los libros, monografías, artículos, colecciones editadas de fuentes, etcétera, usadas en su composición, totalmente coincidente con los elementos citados en las notas al pie de página. Cada registro será elaborado conforme con los mismos criterios con que han de elaborarse las citaciones en las notas, sin indicación, naturalmente, de las páginas citadas.</w:t>
      </w:r>
    </w:p>
    <w:p w:rsidR="009D2761" w:rsidRPr="009D2761" w:rsidRDefault="009D2761" w:rsidP="009D2761">
      <w:pPr>
        <w:numPr>
          <w:ilvl w:val="0"/>
          <w:numId w:val="2"/>
        </w:numPr>
        <w:shd w:val="clear" w:color="auto" w:fill="FFFFFF"/>
        <w:ind w:left="750" w:right="75"/>
        <w:rPr>
          <w:rFonts w:ascii="inherit" w:eastAsia="Times New Roman" w:hAnsi="inherit" w:cs="Times New Roman"/>
          <w:color w:val="000000"/>
          <w:sz w:val="23"/>
          <w:szCs w:val="23"/>
          <w:lang w:eastAsia="es-CL"/>
        </w:rPr>
      </w:pPr>
      <w:r w:rsidRPr="009D2761">
        <w:rPr>
          <w:rFonts w:ascii="inherit" w:eastAsia="Times New Roman" w:hAnsi="inherit" w:cs="Times New Roman"/>
          <w:color w:val="000000"/>
          <w:sz w:val="23"/>
          <w:szCs w:val="23"/>
          <w:lang w:eastAsia="es-CL"/>
        </w:rPr>
        <w:t>Las citas se harán conforme a las reglas contenidas en </w:t>
      </w:r>
      <w:hyperlink r:id="rId6" w:tgtFrame="_blank" w:history="1">
        <w:r w:rsidRPr="009D2761">
          <w:rPr>
            <w:rFonts w:ascii="inherit" w:eastAsia="Times New Roman" w:hAnsi="inherit" w:cs="Times New Roman"/>
            <w:b/>
            <w:bCs/>
            <w:color w:val="0066CC"/>
            <w:sz w:val="23"/>
            <w:szCs w:val="23"/>
            <w:u w:val="single"/>
            <w:bdr w:val="none" w:sz="0" w:space="0" w:color="auto" w:frame="1"/>
            <w:lang w:eastAsia="es-CL"/>
          </w:rPr>
          <w:t>http://www.rdpucv.cl/index.php/rderecho/about/submissions</w:t>
        </w:r>
      </w:hyperlink>
      <w:r w:rsidRPr="009D2761">
        <w:rPr>
          <w:rFonts w:ascii="inherit" w:eastAsia="Times New Roman" w:hAnsi="inherit" w:cs="Times New Roman"/>
          <w:color w:val="000000"/>
          <w:sz w:val="23"/>
          <w:szCs w:val="23"/>
          <w:lang w:eastAsia="es-CL"/>
        </w:rPr>
        <w:t>.</w:t>
      </w:r>
    </w:p>
    <w:p w:rsidR="009D2761" w:rsidRPr="009D2761" w:rsidRDefault="009D2761" w:rsidP="009D2761">
      <w:pPr>
        <w:shd w:val="clear" w:color="auto" w:fill="FFFFFF"/>
        <w:spacing w:after="225" w:line="383" w:lineRule="atLeast"/>
        <w:rPr>
          <w:rFonts w:ascii="inherit" w:eastAsia="Times New Roman" w:hAnsi="inherit" w:cs="Times New Roman"/>
          <w:color w:val="000000"/>
          <w:sz w:val="23"/>
          <w:szCs w:val="23"/>
          <w:lang w:eastAsia="es-CL"/>
        </w:rPr>
      </w:pPr>
      <w:r w:rsidRPr="009D2761">
        <w:rPr>
          <w:rFonts w:ascii="inherit" w:eastAsia="Times New Roman" w:hAnsi="inherit" w:cs="Times New Roman"/>
          <w:color w:val="000000"/>
          <w:sz w:val="23"/>
          <w:szCs w:val="23"/>
          <w:lang w:eastAsia="es-CL"/>
        </w:rPr>
        <w:t> </w:t>
      </w:r>
    </w:p>
    <w:p w:rsidR="009D2761" w:rsidRPr="009D2761" w:rsidRDefault="009D2761" w:rsidP="009D2761">
      <w:pPr>
        <w:shd w:val="clear" w:color="auto" w:fill="FFFFFF"/>
        <w:spacing w:after="225" w:line="383" w:lineRule="atLeast"/>
        <w:rPr>
          <w:rFonts w:ascii="inherit" w:eastAsia="Times New Roman" w:hAnsi="inherit" w:cs="Times New Roman"/>
          <w:color w:val="000000"/>
          <w:sz w:val="23"/>
          <w:szCs w:val="23"/>
          <w:lang w:eastAsia="es-CL"/>
        </w:rPr>
      </w:pPr>
      <w:r w:rsidRPr="009D2761">
        <w:rPr>
          <w:rFonts w:ascii="inherit" w:eastAsia="Times New Roman" w:hAnsi="inherit" w:cs="Times New Roman"/>
          <w:color w:val="000000"/>
          <w:sz w:val="23"/>
          <w:szCs w:val="23"/>
          <w:lang w:eastAsia="es-CL"/>
        </w:rPr>
        <w:t>Eventualmente, se otorgará un plazo para que, finalizada la actividad (8 de septiembre), los ponentes puedan incorporar las cuestiones discutidas durante la ponencia con las rectificaciones y/o complementaciones menores que estimaren pertinentes.</w:t>
      </w:r>
    </w:p>
    <w:p w:rsidR="009D2761" w:rsidRPr="009D2761" w:rsidRDefault="009D2761" w:rsidP="009D2761">
      <w:pPr>
        <w:shd w:val="clear" w:color="auto" w:fill="FFFFFF"/>
        <w:spacing w:line="383" w:lineRule="atLeast"/>
        <w:rPr>
          <w:rFonts w:ascii="inherit" w:eastAsia="Times New Roman" w:hAnsi="inherit" w:cs="Times New Roman"/>
          <w:color w:val="000000"/>
          <w:sz w:val="23"/>
          <w:szCs w:val="23"/>
          <w:lang w:eastAsia="es-CL"/>
        </w:rPr>
      </w:pPr>
      <w:r w:rsidRPr="009D2761">
        <w:rPr>
          <w:rFonts w:ascii="inherit" w:eastAsia="Times New Roman" w:hAnsi="inherit" w:cs="Times New Roman"/>
          <w:color w:val="000000"/>
          <w:sz w:val="23"/>
          <w:szCs w:val="23"/>
          <w:lang w:eastAsia="es-CL"/>
        </w:rPr>
        <w:t>La participación como asistente es gratuita y requiere inscripción previa mediante el formulario disponible en </w:t>
      </w:r>
      <w:hyperlink r:id="rId7" w:tgtFrame="_blank" w:history="1">
        <w:r w:rsidRPr="009D2761">
          <w:rPr>
            <w:rFonts w:ascii="inherit" w:eastAsia="Times New Roman" w:hAnsi="inherit" w:cs="Times New Roman"/>
            <w:b/>
            <w:bCs/>
            <w:color w:val="0066CC"/>
            <w:sz w:val="23"/>
            <w:szCs w:val="23"/>
            <w:u w:val="single"/>
            <w:bdr w:val="none" w:sz="0" w:space="0" w:color="auto" w:frame="1"/>
            <w:lang w:eastAsia="es-CL"/>
          </w:rPr>
          <w:t>www.jornadasderechocomercial.pucv.cl</w:t>
        </w:r>
      </w:hyperlink>
      <w:r w:rsidRPr="009D2761">
        <w:rPr>
          <w:rFonts w:ascii="inherit" w:eastAsia="Times New Roman" w:hAnsi="inherit" w:cs="Times New Roman"/>
          <w:color w:val="000000"/>
          <w:sz w:val="23"/>
          <w:szCs w:val="23"/>
          <w:lang w:eastAsia="es-CL"/>
        </w:rPr>
        <w:t>   </w:t>
      </w:r>
    </w:p>
    <w:bookmarkEnd w:id="0"/>
    <w:p w:rsidR="00D77724" w:rsidRDefault="00D77724"/>
    <w:sectPr w:rsidR="00D7772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1D46AC"/>
    <w:multiLevelType w:val="multilevel"/>
    <w:tmpl w:val="F30E28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FEA099F"/>
    <w:multiLevelType w:val="multilevel"/>
    <w:tmpl w:val="9A206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554"/>
    <w:rsid w:val="009D2761"/>
    <w:rsid w:val="00A04554"/>
    <w:rsid w:val="00D7772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D2761"/>
    <w:pPr>
      <w:spacing w:before="100" w:beforeAutospacing="1" w:after="100" w:afterAutospacing="1"/>
      <w:jc w:val="left"/>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9D2761"/>
    <w:rPr>
      <w:b/>
      <w:bCs/>
    </w:rPr>
  </w:style>
  <w:style w:type="character" w:styleId="Hipervnculo">
    <w:name w:val="Hyperlink"/>
    <w:basedOn w:val="Fuentedeprrafopredeter"/>
    <w:uiPriority w:val="99"/>
    <w:semiHidden/>
    <w:unhideWhenUsed/>
    <w:rsid w:val="009D276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D2761"/>
    <w:pPr>
      <w:spacing w:before="100" w:beforeAutospacing="1" w:after="100" w:afterAutospacing="1"/>
      <w:jc w:val="left"/>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9D2761"/>
    <w:rPr>
      <w:b/>
      <w:bCs/>
    </w:rPr>
  </w:style>
  <w:style w:type="character" w:styleId="Hipervnculo">
    <w:name w:val="Hyperlink"/>
    <w:basedOn w:val="Fuentedeprrafopredeter"/>
    <w:uiPriority w:val="99"/>
    <w:semiHidden/>
    <w:unhideWhenUsed/>
    <w:rsid w:val="009D27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36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jornadasderechocomercial.pucv.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dpucv.cl/index.php/rderecho/about/submission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606</Words>
  <Characters>3335</Characters>
  <Application>Microsoft Office Word</Application>
  <DocSecurity>0</DocSecurity>
  <Lines>27</Lines>
  <Paragraphs>7</Paragraphs>
  <ScaleCrop>false</ScaleCrop>
  <Company>Toshiba</Company>
  <LinksUpToDate>false</LinksUpToDate>
  <CharactersWithSpaces>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2017-04-06T19:10:00Z</dcterms:created>
  <dcterms:modified xsi:type="dcterms:W3CDTF">2017-04-06T19:11:00Z</dcterms:modified>
</cp:coreProperties>
</file>